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30B7E" w14:textId="77777777" w:rsidR="003F2048" w:rsidRDefault="001604E9" w:rsidP="001604E9">
      <w:pPr>
        <w:pStyle w:val="Title"/>
        <w:jc w:val="center"/>
        <w:rPr>
          <w:sz w:val="44"/>
          <w:szCs w:val="44"/>
        </w:rPr>
      </w:pPr>
      <w:r>
        <w:rPr>
          <w:sz w:val="44"/>
          <w:szCs w:val="44"/>
        </w:rPr>
        <w:t>TWU Woodcock institute</w:t>
      </w:r>
      <w:r w:rsidR="00C87E0F" w:rsidRPr="00C87E0F">
        <w:rPr>
          <w:sz w:val="44"/>
          <w:szCs w:val="44"/>
        </w:rPr>
        <w:t xml:space="preserve"> </w:t>
      </w:r>
    </w:p>
    <w:p w14:paraId="05975F80" w14:textId="3C71E6E1" w:rsidR="00C87E0F" w:rsidRPr="00C87E0F" w:rsidRDefault="00C87E0F" w:rsidP="001604E9">
      <w:pPr>
        <w:pStyle w:val="Title"/>
        <w:jc w:val="center"/>
        <w:rPr>
          <w:sz w:val="44"/>
          <w:szCs w:val="44"/>
        </w:rPr>
      </w:pPr>
      <w:r w:rsidRPr="00C87E0F">
        <w:rPr>
          <w:sz w:val="44"/>
          <w:szCs w:val="44"/>
        </w:rPr>
        <w:t xml:space="preserve">Research Project </w:t>
      </w:r>
      <w:r w:rsidR="003F2048">
        <w:rPr>
          <w:sz w:val="44"/>
          <w:szCs w:val="44"/>
        </w:rPr>
        <w:t xml:space="preserve">FINAL </w:t>
      </w:r>
      <w:r w:rsidRPr="00C87E0F">
        <w:rPr>
          <w:sz w:val="44"/>
          <w:szCs w:val="44"/>
        </w:rPr>
        <w:t>Report</w:t>
      </w:r>
    </w:p>
    <w:p w14:paraId="6C0B4D4A" w14:textId="77777777" w:rsidR="00C87E0F" w:rsidRDefault="00C87E0F" w:rsidP="00BF39E5">
      <w:pPr>
        <w:spacing w:after="0" w:line="240" w:lineRule="auto"/>
        <w:rPr>
          <w:rFonts w:ascii="Times New Roman" w:hAnsi="Times New Roman" w:cs="Times New Roman"/>
          <w:sz w:val="24"/>
          <w:szCs w:val="24"/>
        </w:rPr>
      </w:pPr>
    </w:p>
    <w:p w14:paraId="06964D07" w14:textId="03E6EFCB" w:rsidR="009616EC" w:rsidRPr="00A92F6B" w:rsidRDefault="00BF39E5" w:rsidP="00BF39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604E9" w:rsidRPr="00A92F6B">
        <w:rPr>
          <w:rFonts w:ascii="Times New Roman" w:hAnsi="Times New Roman" w:cs="Times New Roman"/>
          <w:bCs/>
          <w:color w:val="000000"/>
          <w:sz w:val="24"/>
          <w:szCs w:val="24"/>
        </w:rPr>
        <w:t xml:space="preserve">The overall objective of the </w:t>
      </w:r>
      <w:r w:rsidR="003F2048">
        <w:rPr>
          <w:rFonts w:ascii="Times New Roman" w:hAnsi="Times New Roman" w:cs="Times New Roman"/>
          <w:bCs/>
          <w:color w:val="000000"/>
          <w:sz w:val="24"/>
          <w:szCs w:val="24"/>
        </w:rPr>
        <w:t>funded</w:t>
      </w:r>
      <w:r w:rsidR="001604E9" w:rsidRPr="00A92F6B">
        <w:rPr>
          <w:rFonts w:ascii="Times New Roman" w:hAnsi="Times New Roman" w:cs="Times New Roman"/>
          <w:bCs/>
          <w:color w:val="000000"/>
          <w:sz w:val="24"/>
          <w:szCs w:val="24"/>
        </w:rPr>
        <w:t xml:space="preserve"> project </w:t>
      </w:r>
      <w:r w:rsidR="003F2048">
        <w:rPr>
          <w:rFonts w:ascii="Times New Roman" w:hAnsi="Times New Roman" w:cs="Times New Roman"/>
          <w:bCs/>
          <w:color w:val="000000"/>
          <w:sz w:val="24"/>
          <w:szCs w:val="24"/>
        </w:rPr>
        <w:t>wa</w:t>
      </w:r>
      <w:r w:rsidR="001604E9" w:rsidRPr="00A92F6B">
        <w:rPr>
          <w:rFonts w:ascii="Times New Roman" w:hAnsi="Times New Roman" w:cs="Times New Roman"/>
          <w:bCs/>
          <w:color w:val="000000"/>
          <w:sz w:val="24"/>
          <w:szCs w:val="24"/>
        </w:rPr>
        <w:t xml:space="preserve">s to use multiple measures and methods to explore patterns of EF performance in college students with ACEs exposure. </w:t>
      </w:r>
      <w:r w:rsidRPr="00A92F6B">
        <w:rPr>
          <w:rFonts w:ascii="Times New Roman" w:hAnsi="Times New Roman" w:cs="Times New Roman"/>
          <w:sz w:val="24"/>
          <w:szCs w:val="24"/>
        </w:rPr>
        <w:t xml:space="preserve">This report provides an update on our progress </w:t>
      </w:r>
      <w:r w:rsidR="00542763">
        <w:rPr>
          <w:rFonts w:ascii="Times New Roman" w:hAnsi="Times New Roman" w:cs="Times New Roman"/>
          <w:sz w:val="24"/>
          <w:szCs w:val="24"/>
        </w:rPr>
        <w:t xml:space="preserve">as of </w:t>
      </w:r>
      <w:r w:rsidR="003F2048">
        <w:rPr>
          <w:rFonts w:ascii="Times New Roman" w:hAnsi="Times New Roman" w:cs="Times New Roman"/>
          <w:sz w:val="24"/>
          <w:szCs w:val="24"/>
        </w:rPr>
        <w:t>January 2020</w:t>
      </w:r>
      <w:r w:rsidRPr="00A92F6B">
        <w:rPr>
          <w:rFonts w:ascii="Times New Roman" w:hAnsi="Times New Roman" w:cs="Times New Roman"/>
          <w:sz w:val="24"/>
          <w:szCs w:val="24"/>
        </w:rPr>
        <w:t>.</w:t>
      </w:r>
    </w:p>
    <w:p w14:paraId="4F15BE0A" w14:textId="77777777" w:rsidR="00BF39E5" w:rsidRPr="00A92F6B" w:rsidRDefault="00BF39E5" w:rsidP="00BF39E5">
      <w:pPr>
        <w:spacing w:after="0" w:line="240" w:lineRule="auto"/>
        <w:rPr>
          <w:rFonts w:ascii="Times New Roman" w:hAnsi="Times New Roman" w:cs="Times New Roman"/>
          <w:sz w:val="24"/>
          <w:szCs w:val="24"/>
        </w:rPr>
      </w:pPr>
    </w:p>
    <w:p w14:paraId="10285DD4" w14:textId="01227B50" w:rsidR="00BF39E5" w:rsidRDefault="00BF39E5" w:rsidP="00BF39E5">
      <w:pPr>
        <w:spacing w:after="0" w:line="240" w:lineRule="auto"/>
        <w:rPr>
          <w:rFonts w:ascii="Times New Roman" w:hAnsi="Times New Roman" w:cs="Times New Roman"/>
          <w:sz w:val="24"/>
          <w:szCs w:val="24"/>
        </w:rPr>
      </w:pPr>
      <w:r>
        <w:rPr>
          <w:rFonts w:ascii="Times New Roman" w:hAnsi="Times New Roman" w:cs="Times New Roman"/>
          <w:i/>
          <w:sz w:val="24"/>
          <w:szCs w:val="24"/>
        </w:rPr>
        <w:t>Recruitment</w:t>
      </w:r>
      <w:r w:rsidR="00377929">
        <w:rPr>
          <w:rFonts w:ascii="Times New Roman" w:hAnsi="Times New Roman" w:cs="Times New Roman"/>
          <w:i/>
          <w:sz w:val="24"/>
          <w:szCs w:val="24"/>
        </w:rPr>
        <w:t xml:space="preserve"> and Data Collection</w:t>
      </w:r>
    </w:p>
    <w:p w14:paraId="27F2EB77" w14:textId="6FB7E5EE" w:rsidR="00FE4353" w:rsidRDefault="00BF39E5" w:rsidP="00BF39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604E9">
        <w:rPr>
          <w:rFonts w:ascii="Times New Roman" w:hAnsi="Times New Roman" w:cs="Times New Roman"/>
          <w:sz w:val="24"/>
          <w:szCs w:val="24"/>
        </w:rPr>
        <w:t xml:space="preserve">Target recruitment was 80 participants, 40 from the university participant pool (SONA, for course credit) and 40 from university campuses with monetary remuneration. </w:t>
      </w:r>
      <w:r w:rsidR="00FE4353">
        <w:rPr>
          <w:rFonts w:ascii="Times New Roman" w:hAnsi="Times New Roman" w:cs="Times New Roman"/>
          <w:sz w:val="24"/>
          <w:szCs w:val="24"/>
        </w:rPr>
        <w:t>We did not anticipate that so many students would complete the online questionnaire portion of the study and fail to sign up for the second portion. Part of the difficulty involve</w:t>
      </w:r>
      <w:r w:rsidR="00C80448">
        <w:rPr>
          <w:rFonts w:ascii="Times New Roman" w:hAnsi="Times New Roman" w:cs="Times New Roman"/>
          <w:sz w:val="24"/>
          <w:szCs w:val="24"/>
        </w:rPr>
        <w:t>d</w:t>
      </w:r>
      <w:r w:rsidR="00FE4353">
        <w:rPr>
          <w:rFonts w:ascii="Times New Roman" w:hAnsi="Times New Roman" w:cs="Times New Roman"/>
          <w:sz w:val="24"/>
          <w:szCs w:val="24"/>
        </w:rPr>
        <w:t xml:space="preserve"> the UHCL SONA rules and procedures, which require researchers to award credit for each portion of a study completed, rather than for completion of an entire study. Additionally, </w:t>
      </w:r>
      <w:r w:rsidR="00C80448">
        <w:rPr>
          <w:rFonts w:ascii="Times New Roman" w:hAnsi="Times New Roman" w:cs="Times New Roman"/>
          <w:sz w:val="24"/>
          <w:szCs w:val="24"/>
        </w:rPr>
        <w:t xml:space="preserve">we started </w:t>
      </w:r>
      <w:r w:rsidR="00FE4353">
        <w:rPr>
          <w:rFonts w:ascii="Times New Roman" w:hAnsi="Times New Roman" w:cs="Times New Roman"/>
          <w:sz w:val="24"/>
          <w:szCs w:val="24"/>
        </w:rPr>
        <w:t>with only one RA, who was also in school and at practicum placements over 40 hours each week</w:t>
      </w:r>
      <w:r w:rsidR="00C80448">
        <w:rPr>
          <w:rFonts w:ascii="Times New Roman" w:hAnsi="Times New Roman" w:cs="Times New Roman"/>
          <w:sz w:val="24"/>
          <w:szCs w:val="24"/>
        </w:rPr>
        <w:t>. Thus</w:t>
      </w:r>
      <w:r w:rsidR="00FE4353">
        <w:rPr>
          <w:rFonts w:ascii="Times New Roman" w:hAnsi="Times New Roman" w:cs="Times New Roman"/>
          <w:sz w:val="24"/>
          <w:szCs w:val="24"/>
        </w:rPr>
        <w:t>, it was difficult to maintain enough in-person testing slots to keep up with demand from online completers. Thus, we requested and were granted a reallocation of budget funds to enhance our ability to recruit and test participants who would complete the entire study (both portions).</w:t>
      </w:r>
      <w:r w:rsidR="00C80448">
        <w:rPr>
          <w:rFonts w:ascii="Times New Roman" w:hAnsi="Times New Roman" w:cs="Times New Roman"/>
          <w:sz w:val="24"/>
          <w:szCs w:val="24"/>
        </w:rPr>
        <w:t xml:space="preserve"> Whereas we were not able to recruit as many additional participants as we anticipated over Summer 2019 with increased funds for participant remuneration, the addition of a second RA and our increased preparation time aided us in boosting recruitment significantly in the Fall 2019 semester. There continued to be an imbalance in participation rates, with far more completing the online portion of the study than the in-person testing session; however, we </w:t>
      </w:r>
    </w:p>
    <w:p w14:paraId="2CEF4DD1" w14:textId="77777777" w:rsidR="00C80448" w:rsidRDefault="00C80448" w:rsidP="00BF39E5">
      <w:pPr>
        <w:spacing w:after="0" w:line="240" w:lineRule="auto"/>
        <w:rPr>
          <w:rFonts w:ascii="Times New Roman" w:hAnsi="Times New Roman" w:cs="Times New Roman"/>
          <w:sz w:val="24"/>
          <w:szCs w:val="24"/>
        </w:rPr>
      </w:pPr>
    </w:p>
    <w:p w14:paraId="7645068C" w14:textId="0853C39F" w:rsidR="004902C9" w:rsidRDefault="00C80448" w:rsidP="00BF39E5">
      <w:pPr>
        <w:spacing w:after="0" w:line="240" w:lineRule="auto"/>
        <w:rPr>
          <w:rFonts w:ascii="Times New Roman" w:hAnsi="Times New Roman" w:cs="Times New Roman"/>
          <w:sz w:val="24"/>
          <w:szCs w:val="24"/>
        </w:rPr>
      </w:pPr>
      <w:r>
        <w:rPr>
          <w:rFonts w:ascii="Times New Roman" w:hAnsi="Times New Roman" w:cs="Times New Roman"/>
          <w:sz w:val="24"/>
          <w:szCs w:val="24"/>
        </w:rPr>
        <w:t>Across</w:t>
      </w:r>
      <w:r w:rsidR="00FE4353">
        <w:rPr>
          <w:rFonts w:ascii="Times New Roman" w:hAnsi="Times New Roman" w:cs="Times New Roman"/>
          <w:sz w:val="24"/>
          <w:szCs w:val="24"/>
        </w:rPr>
        <w:t xml:space="preserve"> the </w:t>
      </w:r>
      <w:r>
        <w:rPr>
          <w:rFonts w:ascii="Times New Roman" w:hAnsi="Times New Roman" w:cs="Times New Roman"/>
          <w:sz w:val="24"/>
          <w:szCs w:val="24"/>
        </w:rPr>
        <w:t>Spring, Summer, and Fall 2019 semesters</w:t>
      </w:r>
      <w:r w:rsidR="009B107D">
        <w:rPr>
          <w:rFonts w:ascii="Times New Roman" w:hAnsi="Times New Roman" w:cs="Times New Roman"/>
          <w:sz w:val="24"/>
          <w:szCs w:val="24"/>
        </w:rPr>
        <w:t xml:space="preserve"> </w:t>
      </w:r>
      <w:r w:rsidR="00FE4353">
        <w:rPr>
          <w:rFonts w:ascii="Times New Roman" w:hAnsi="Times New Roman" w:cs="Times New Roman"/>
          <w:sz w:val="24"/>
          <w:szCs w:val="24"/>
        </w:rPr>
        <w:t xml:space="preserve">semester, </w:t>
      </w:r>
      <w:r w:rsidR="00FC5DDF">
        <w:rPr>
          <w:rFonts w:ascii="Times New Roman" w:hAnsi="Times New Roman" w:cs="Times New Roman"/>
          <w:sz w:val="24"/>
          <w:szCs w:val="24"/>
        </w:rPr>
        <w:t>393</w:t>
      </w:r>
      <w:r w:rsidR="004902C9">
        <w:rPr>
          <w:rFonts w:ascii="Times New Roman" w:hAnsi="Times New Roman" w:cs="Times New Roman"/>
          <w:sz w:val="24"/>
          <w:szCs w:val="24"/>
        </w:rPr>
        <w:t xml:space="preserve"> participants completed online questionnaires (Part I of the study</w:t>
      </w:r>
      <w:r>
        <w:rPr>
          <w:rFonts w:ascii="Times New Roman" w:hAnsi="Times New Roman" w:cs="Times New Roman"/>
          <w:sz w:val="24"/>
          <w:szCs w:val="24"/>
        </w:rPr>
        <w:t xml:space="preserve">; this does not include </w:t>
      </w:r>
      <w:r w:rsidR="00FC5DDF">
        <w:rPr>
          <w:rFonts w:ascii="Times New Roman" w:hAnsi="Times New Roman" w:cs="Times New Roman"/>
          <w:sz w:val="24"/>
          <w:szCs w:val="24"/>
        </w:rPr>
        <w:t xml:space="preserve">either (a) duplicates or (b) </w:t>
      </w:r>
      <w:r>
        <w:rPr>
          <w:rFonts w:ascii="Times New Roman" w:hAnsi="Times New Roman" w:cs="Times New Roman"/>
          <w:sz w:val="24"/>
          <w:szCs w:val="24"/>
        </w:rPr>
        <w:t>the participants who failed to complete the questionnaire after logging into the web site</w:t>
      </w:r>
      <w:r w:rsidR="004902C9">
        <w:rPr>
          <w:rFonts w:ascii="Times New Roman" w:hAnsi="Times New Roman" w:cs="Times New Roman"/>
          <w:sz w:val="24"/>
          <w:szCs w:val="24"/>
        </w:rPr>
        <w:t xml:space="preserve">). </w:t>
      </w:r>
      <w:r>
        <w:rPr>
          <w:rFonts w:ascii="Times New Roman" w:hAnsi="Times New Roman" w:cs="Times New Roman"/>
          <w:sz w:val="24"/>
          <w:szCs w:val="24"/>
        </w:rPr>
        <w:t>Across the same period, w</w:t>
      </w:r>
      <w:r w:rsidR="009B107D">
        <w:rPr>
          <w:rFonts w:ascii="Times New Roman" w:hAnsi="Times New Roman" w:cs="Times New Roman"/>
          <w:sz w:val="24"/>
          <w:szCs w:val="24"/>
        </w:rPr>
        <w:t xml:space="preserve">e also successfully recruited and tested </w:t>
      </w:r>
      <w:r>
        <w:rPr>
          <w:rFonts w:ascii="Times New Roman" w:hAnsi="Times New Roman" w:cs="Times New Roman"/>
          <w:sz w:val="24"/>
          <w:szCs w:val="24"/>
        </w:rPr>
        <w:t>5</w:t>
      </w:r>
      <w:r w:rsidR="00675AE4">
        <w:rPr>
          <w:rFonts w:ascii="Times New Roman" w:hAnsi="Times New Roman" w:cs="Times New Roman"/>
          <w:sz w:val="24"/>
          <w:szCs w:val="24"/>
        </w:rPr>
        <w:t>0</w:t>
      </w:r>
      <w:r w:rsidR="009B107D">
        <w:rPr>
          <w:rFonts w:ascii="Times New Roman" w:hAnsi="Times New Roman" w:cs="Times New Roman"/>
          <w:sz w:val="24"/>
          <w:szCs w:val="24"/>
        </w:rPr>
        <w:t xml:space="preserve"> participants </w:t>
      </w:r>
      <w:r w:rsidR="00614F27">
        <w:rPr>
          <w:rFonts w:ascii="Times New Roman" w:hAnsi="Times New Roman" w:cs="Times New Roman"/>
          <w:sz w:val="24"/>
          <w:szCs w:val="24"/>
        </w:rPr>
        <w:t xml:space="preserve">using WJ IV COG measures </w:t>
      </w:r>
      <w:r w:rsidR="009B107D">
        <w:rPr>
          <w:rFonts w:ascii="Times New Roman" w:hAnsi="Times New Roman" w:cs="Times New Roman"/>
          <w:sz w:val="24"/>
          <w:szCs w:val="24"/>
        </w:rPr>
        <w:t>in person (Part II of the study</w:t>
      </w:r>
      <w:r>
        <w:rPr>
          <w:rFonts w:ascii="Times New Roman" w:hAnsi="Times New Roman" w:cs="Times New Roman"/>
          <w:sz w:val="24"/>
          <w:szCs w:val="24"/>
        </w:rPr>
        <w:t>; excluding no-shows, duplicate</w:t>
      </w:r>
      <w:r w:rsidR="005F59F1">
        <w:rPr>
          <w:rFonts w:ascii="Times New Roman" w:hAnsi="Times New Roman" w:cs="Times New Roman"/>
          <w:sz w:val="24"/>
          <w:szCs w:val="24"/>
        </w:rPr>
        <w:t>s</w:t>
      </w:r>
      <w:r>
        <w:rPr>
          <w:rFonts w:ascii="Times New Roman" w:hAnsi="Times New Roman" w:cs="Times New Roman"/>
          <w:sz w:val="24"/>
          <w:szCs w:val="24"/>
        </w:rPr>
        <w:t xml:space="preserve">, </w:t>
      </w:r>
      <w:r w:rsidR="009F5E1C">
        <w:rPr>
          <w:rFonts w:ascii="Times New Roman" w:hAnsi="Times New Roman" w:cs="Times New Roman"/>
          <w:sz w:val="24"/>
          <w:szCs w:val="24"/>
        </w:rPr>
        <w:t xml:space="preserve">2 participants with technical difficulties during testing, </w:t>
      </w:r>
      <w:r>
        <w:rPr>
          <w:rFonts w:ascii="Times New Roman" w:hAnsi="Times New Roman" w:cs="Times New Roman"/>
          <w:sz w:val="24"/>
          <w:szCs w:val="24"/>
        </w:rPr>
        <w:t>etc.)</w:t>
      </w:r>
      <w:r w:rsidR="009B107D">
        <w:rPr>
          <w:rFonts w:ascii="Times New Roman" w:hAnsi="Times New Roman" w:cs="Times New Roman"/>
          <w:sz w:val="24"/>
          <w:szCs w:val="24"/>
        </w:rPr>
        <w:t xml:space="preserve">. </w:t>
      </w:r>
    </w:p>
    <w:p w14:paraId="60E3D7A6" w14:textId="1FD4EB40" w:rsidR="00614F27" w:rsidRDefault="00614F27" w:rsidP="00BF39E5">
      <w:pPr>
        <w:spacing w:after="0" w:line="240" w:lineRule="auto"/>
        <w:rPr>
          <w:rFonts w:ascii="Times New Roman" w:hAnsi="Times New Roman" w:cs="Times New Roman"/>
          <w:sz w:val="24"/>
          <w:szCs w:val="24"/>
        </w:rPr>
      </w:pPr>
    </w:p>
    <w:p w14:paraId="4651B7F6" w14:textId="07B51103" w:rsidR="00614F27" w:rsidRDefault="00614F27" w:rsidP="00BF39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the computerized cognitive measures on the </w:t>
      </w:r>
      <w:proofErr w:type="spellStart"/>
      <w:r>
        <w:rPr>
          <w:rFonts w:ascii="Times New Roman" w:hAnsi="Times New Roman" w:cs="Times New Roman"/>
          <w:sz w:val="24"/>
          <w:szCs w:val="24"/>
        </w:rPr>
        <w:t>Inquisit</w:t>
      </w:r>
      <w:proofErr w:type="spellEnd"/>
      <w:r>
        <w:rPr>
          <w:rFonts w:ascii="Times New Roman" w:hAnsi="Times New Roman" w:cs="Times New Roman"/>
          <w:sz w:val="24"/>
          <w:szCs w:val="24"/>
        </w:rPr>
        <w:t xml:space="preserve"> Millisecond platform, we encountered many technical problems. On several occasions the audio did not play during testing, </w:t>
      </w:r>
      <w:r w:rsidR="005B71CF">
        <w:rPr>
          <w:rFonts w:ascii="Times New Roman" w:hAnsi="Times New Roman" w:cs="Times New Roman"/>
          <w:sz w:val="24"/>
          <w:szCs w:val="24"/>
        </w:rPr>
        <w:t xml:space="preserve">the </w:t>
      </w:r>
      <w:proofErr w:type="spellStart"/>
      <w:r w:rsidR="005B71CF">
        <w:rPr>
          <w:rFonts w:ascii="Times New Roman" w:hAnsi="Times New Roman" w:cs="Times New Roman"/>
          <w:sz w:val="24"/>
          <w:szCs w:val="24"/>
        </w:rPr>
        <w:t>Inquisit</w:t>
      </w:r>
      <w:proofErr w:type="spellEnd"/>
      <w:r w:rsidR="005B71CF">
        <w:rPr>
          <w:rFonts w:ascii="Times New Roman" w:hAnsi="Times New Roman" w:cs="Times New Roman"/>
          <w:sz w:val="24"/>
          <w:szCs w:val="24"/>
        </w:rPr>
        <w:t xml:space="preserve"> server did not record (complete) data for the participant’s testing session (e.g., only recorded some test scores but not others though all were administered), or the iPads themselves malfunctioned during testing.</w:t>
      </w:r>
      <w:r w:rsidR="008E489E">
        <w:rPr>
          <w:rFonts w:ascii="Times New Roman" w:hAnsi="Times New Roman" w:cs="Times New Roman"/>
          <w:sz w:val="24"/>
          <w:szCs w:val="24"/>
        </w:rPr>
        <w:t xml:space="preserve"> In order to try to acquire as much data as possible, we instructed some participants to complete the </w:t>
      </w:r>
      <w:proofErr w:type="spellStart"/>
      <w:r w:rsidR="008E489E">
        <w:rPr>
          <w:rFonts w:ascii="Times New Roman" w:hAnsi="Times New Roman" w:cs="Times New Roman"/>
          <w:sz w:val="24"/>
          <w:szCs w:val="24"/>
        </w:rPr>
        <w:t>Inquisit</w:t>
      </w:r>
      <w:proofErr w:type="spellEnd"/>
      <w:r w:rsidR="008E489E">
        <w:rPr>
          <w:rFonts w:ascii="Times New Roman" w:hAnsi="Times New Roman" w:cs="Times New Roman"/>
          <w:sz w:val="24"/>
          <w:szCs w:val="24"/>
        </w:rPr>
        <w:t xml:space="preserve"> measures at home when technical difficulties arose in the lab. We also instructed ALL Fall 2019 participants to do these measures at home, given the frequency and pervasiveness of our in-session technical problems.</w:t>
      </w:r>
      <w:r w:rsidR="00305979">
        <w:rPr>
          <w:rFonts w:ascii="Times New Roman" w:hAnsi="Times New Roman" w:cs="Times New Roman"/>
          <w:sz w:val="24"/>
          <w:szCs w:val="24"/>
        </w:rPr>
        <w:t xml:space="preserve"> Because of these difficulties and inconsistencies, we consider the data acquired from </w:t>
      </w:r>
      <w:proofErr w:type="spellStart"/>
      <w:r w:rsidR="00305979">
        <w:rPr>
          <w:rFonts w:ascii="Times New Roman" w:hAnsi="Times New Roman" w:cs="Times New Roman"/>
          <w:sz w:val="24"/>
          <w:szCs w:val="24"/>
        </w:rPr>
        <w:t>Inquisit</w:t>
      </w:r>
      <w:proofErr w:type="spellEnd"/>
      <w:r w:rsidR="00305979">
        <w:rPr>
          <w:rFonts w:ascii="Times New Roman" w:hAnsi="Times New Roman" w:cs="Times New Roman"/>
          <w:sz w:val="24"/>
          <w:szCs w:val="24"/>
        </w:rPr>
        <w:t xml:space="preserve"> computerized EF measures invalid for reporting at this time. We did find great value, however, in evaluating the technical capabilities and procedural requirements for these measures and hope to adjust our protocol to the difficulties encountered for future studies.</w:t>
      </w:r>
    </w:p>
    <w:p w14:paraId="723DBE48" w14:textId="77777777" w:rsidR="00BF39E5" w:rsidRDefault="00BF39E5" w:rsidP="00BF39E5">
      <w:pPr>
        <w:spacing w:after="0" w:line="240" w:lineRule="auto"/>
        <w:rPr>
          <w:rFonts w:ascii="Times New Roman" w:hAnsi="Times New Roman" w:cs="Times New Roman"/>
          <w:sz w:val="24"/>
          <w:szCs w:val="24"/>
        </w:rPr>
      </w:pPr>
    </w:p>
    <w:p w14:paraId="45B9BC94" w14:textId="77777777" w:rsidR="00BF39E5" w:rsidRPr="005F59F1" w:rsidRDefault="00314010" w:rsidP="00BF39E5">
      <w:pPr>
        <w:spacing w:after="0" w:line="240" w:lineRule="auto"/>
        <w:rPr>
          <w:rFonts w:ascii="Times New Roman" w:hAnsi="Times New Roman" w:cs="Times New Roman"/>
          <w:i/>
          <w:sz w:val="24"/>
          <w:szCs w:val="24"/>
          <w:u w:val="single"/>
        </w:rPr>
      </w:pPr>
      <w:r w:rsidRPr="005F59F1">
        <w:rPr>
          <w:rFonts w:ascii="Times New Roman" w:hAnsi="Times New Roman" w:cs="Times New Roman"/>
          <w:i/>
          <w:sz w:val="24"/>
          <w:szCs w:val="24"/>
        </w:rPr>
        <w:lastRenderedPageBreak/>
        <w:t>Analyses and Results</w:t>
      </w:r>
    </w:p>
    <w:p w14:paraId="4B96BDD8" w14:textId="03F70C91" w:rsidR="00314010" w:rsidRPr="005F59F1" w:rsidRDefault="00314010" w:rsidP="009B107D">
      <w:pPr>
        <w:spacing w:after="0" w:line="240" w:lineRule="auto"/>
        <w:rPr>
          <w:rFonts w:ascii="Times New Roman" w:hAnsi="Times New Roman" w:cs="Times New Roman"/>
          <w:sz w:val="24"/>
          <w:szCs w:val="24"/>
        </w:rPr>
      </w:pPr>
      <w:r w:rsidRPr="005F59F1">
        <w:rPr>
          <w:rFonts w:ascii="Times New Roman" w:hAnsi="Times New Roman" w:cs="Times New Roman"/>
          <w:sz w:val="24"/>
          <w:szCs w:val="24"/>
        </w:rPr>
        <w:tab/>
      </w:r>
    </w:p>
    <w:p w14:paraId="06DCD5EE" w14:textId="77777777" w:rsidR="003616DC" w:rsidRPr="00B92591" w:rsidRDefault="003616DC" w:rsidP="003616DC">
      <w:pPr>
        <w:pStyle w:val="ListParagraph"/>
        <w:numPr>
          <w:ilvl w:val="0"/>
          <w:numId w:val="1"/>
        </w:numPr>
        <w:ind w:left="180" w:hanging="180"/>
        <w:rPr>
          <w:rFonts w:ascii="Times New Roman" w:hAnsi="Times New Roman" w:cs="Times New Roman"/>
          <w:bCs/>
          <w:color w:val="000000"/>
        </w:rPr>
      </w:pPr>
      <w:r w:rsidRPr="00B92591">
        <w:rPr>
          <w:rFonts w:ascii="Times New Roman" w:hAnsi="Times New Roman" w:cs="Times New Roman"/>
          <w:bCs/>
          <w:color w:val="000000"/>
        </w:rPr>
        <w:t xml:space="preserve">Do the number of types of ACEs (multiplicity) and ACEs severity predict EF performance across multiple measures? </w:t>
      </w:r>
    </w:p>
    <w:p w14:paraId="6107CD06" w14:textId="458F61A3" w:rsidR="003616DC" w:rsidRDefault="003616DC" w:rsidP="003616DC">
      <w:pPr>
        <w:pStyle w:val="ListParagraph"/>
        <w:numPr>
          <w:ilvl w:val="1"/>
          <w:numId w:val="1"/>
        </w:numPr>
        <w:rPr>
          <w:rFonts w:ascii="Times New Roman" w:hAnsi="Times New Roman" w:cs="Times New Roman"/>
          <w:bCs/>
          <w:color w:val="000000"/>
        </w:rPr>
      </w:pPr>
      <w:r w:rsidRPr="00B92591">
        <w:rPr>
          <w:rFonts w:ascii="Times New Roman" w:hAnsi="Times New Roman" w:cs="Times New Roman"/>
          <w:bCs/>
          <w:color w:val="000000"/>
        </w:rPr>
        <w:t>Hypothesis: Consistent with previous research, number of types of ACEs exposure (multiplicity) will significantly predict scores on all EF measures.</w:t>
      </w:r>
    </w:p>
    <w:p w14:paraId="28A17585" w14:textId="25DA4072" w:rsidR="003616DC" w:rsidRDefault="003616DC" w:rsidP="008E371C">
      <w:pPr>
        <w:ind w:left="-360"/>
        <w:rPr>
          <w:rFonts w:ascii="Times New Roman" w:hAnsi="Times New Roman" w:cs="Times New Roman"/>
          <w:b/>
          <w:bCs/>
          <w:color w:val="000000"/>
        </w:rPr>
      </w:pPr>
      <w:r>
        <w:rPr>
          <w:rFonts w:ascii="Times New Roman" w:hAnsi="Times New Roman" w:cs="Times New Roman"/>
          <w:b/>
          <w:bCs/>
          <w:color w:val="000000"/>
        </w:rPr>
        <w:t xml:space="preserve">Results of correlation analyses indicate that </w:t>
      </w:r>
      <w:r w:rsidR="002205DC">
        <w:rPr>
          <w:rFonts w:ascii="Times New Roman" w:hAnsi="Times New Roman" w:cs="Times New Roman"/>
          <w:b/>
          <w:bCs/>
          <w:color w:val="000000"/>
        </w:rPr>
        <w:t xml:space="preserve">the number of types of </w:t>
      </w:r>
      <w:r>
        <w:rPr>
          <w:rFonts w:ascii="Times New Roman" w:hAnsi="Times New Roman" w:cs="Times New Roman"/>
          <w:b/>
          <w:bCs/>
          <w:color w:val="000000"/>
        </w:rPr>
        <w:t xml:space="preserve">ACEs </w:t>
      </w:r>
      <w:r w:rsidR="002205DC">
        <w:rPr>
          <w:rFonts w:ascii="Times New Roman" w:hAnsi="Times New Roman" w:cs="Times New Roman"/>
          <w:b/>
          <w:bCs/>
          <w:color w:val="000000"/>
        </w:rPr>
        <w:t xml:space="preserve">participants </w:t>
      </w:r>
      <w:r w:rsidR="00320149">
        <w:rPr>
          <w:rFonts w:ascii="Times New Roman" w:hAnsi="Times New Roman" w:cs="Times New Roman"/>
          <w:b/>
          <w:bCs/>
          <w:color w:val="000000"/>
        </w:rPr>
        <w:t xml:space="preserve">report </w:t>
      </w:r>
      <w:r w:rsidR="002205DC">
        <w:rPr>
          <w:rFonts w:ascii="Times New Roman" w:hAnsi="Times New Roman" w:cs="Times New Roman"/>
          <w:b/>
          <w:bCs/>
          <w:color w:val="000000"/>
        </w:rPr>
        <w:t>hav</w:t>
      </w:r>
      <w:r w:rsidR="00320149">
        <w:rPr>
          <w:rFonts w:ascii="Times New Roman" w:hAnsi="Times New Roman" w:cs="Times New Roman"/>
          <w:b/>
          <w:bCs/>
          <w:color w:val="000000"/>
        </w:rPr>
        <w:t>ing</w:t>
      </w:r>
      <w:r w:rsidR="002205DC">
        <w:rPr>
          <w:rFonts w:ascii="Times New Roman" w:hAnsi="Times New Roman" w:cs="Times New Roman"/>
          <w:b/>
          <w:bCs/>
          <w:color w:val="000000"/>
        </w:rPr>
        <w:t xml:space="preserve"> experienced</w:t>
      </w:r>
      <w:r>
        <w:rPr>
          <w:rFonts w:ascii="Times New Roman" w:hAnsi="Times New Roman" w:cs="Times New Roman"/>
          <w:b/>
          <w:bCs/>
          <w:color w:val="000000"/>
        </w:rPr>
        <w:t xml:space="preserve"> </w:t>
      </w:r>
      <w:r w:rsidR="00066C5E">
        <w:rPr>
          <w:rFonts w:ascii="Times New Roman" w:hAnsi="Times New Roman" w:cs="Times New Roman"/>
          <w:b/>
          <w:bCs/>
          <w:color w:val="000000"/>
        </w:rPr>
        <w:t xml:space="preserve">(MAES multiplicity score) </w:t>
      </w:r>
      <w:r>
        <w:rPr>
          <w:rFonts w:ascii="Times New Roman" w:hAnsi="Times New Roman" w:cs="Times New Roman"/>
          <w:b/>
          <w:bCs/>
          <w:color w:val="000000"/>
        </w:rPr>
        <w:t>is significantly associated with total scores on all three EF behavior rating scales (</w:t>
      </w:r>
      <w:r w:rsidR="004E01CC" w:rsidRPr="008E371C">
        <w:rPr>
          <w:rFonts w:ascii="Times New Roman" w:hAnsi="Times New Roman" w:cs="Times New Roman"/>
          <w:b/>
          <w:bCs/>
          <w:color w:val="000000"/>
        </w:rPr>
        <w:t xml:space="preserve">n </w:t>
      </w:r>
      <w:r w:rsidR="004E01CC">
        <w:rPr>
          <w:rFonts w:ascii="Times New Roman" w:hAnsi="Times New Roman" w:cs="Times New Roman"/>
          <w:b/>
          <w:bCs/>
          <w:color w:val="000000"/>
        </w:rPr>
        <w:t xml:space="preserve">= 371; </w:t>
      </w:r>
      <w:r>
        <w:rPr>
          <w:rFonts w:ascii="Times New Roman" w:hAnsi="Times New Roman" w:cs="Times New Roman"/>
          <w:b/>
          <w:bCs/>
          <w:color w:val="000000"/>
        </w:rPr>
        <w:t xml:space="preserve">BDEFS </w:t>
      </w:r>
      <w:r w:rsidRPr="008E371C">
        <w:rPr>
          <w:rFonts w:ascii="Times New Roman" w:hAnsi="Times New Roman" w:cs="Times New Roman"/>
          <w:b/>
          <w:bCs/>
          <w:color w:val="000000"/>
        </w:rPr>
        <w:t xml:space="preserve">r </w:t>
      </w:r>
      <w:r>
        <w:rPr>
          <w:rFonts w:ascii="Times New Roman" w:hAnsi="Times New Roman" w:cs="Times New Roman"/>
          <w:b/>
          <w:bCs/>
          <w:color w:val="000000"/>
        </w:rPr>
        <w:t xml:space="preserve">= </w:t>
      </w:r>
      <w:r w:rsidR="00654A2F">
        <w:rPr>
          <w:rFonts w:ascii="Times New Roman" w:hAnsi="Times New Roman" w:cs="Times New Roman"/>
          <w:b/>
          <w:bCs/>
          <w:color w:val="000000"/>
        </w:rPr>
        <w:t>.</w:t>
      </w:r>
      <w:r>
        <w:rPr>
          <w:rFonts w:ascii="Times New Roman" w:hAnsi="Times New Roman" w:cs="Times New Roman"/>
          <w:b/>
          <w:bCs/>
          <w:color w:val="000000"/>
        </w:rPr>
        <w:t xml:space="preserve">28; BRIEF GEC </w:t>
      </w:r>
      <w:r w:rsidRPr="008E371C">
        <w:rPr>
          <w:rFonts w:ascii="Times New Roman" w:hAnsi="Times New Roman" w:cs="Times New Roman"/>
          <w:b/>
          <w:bCs/>
          <w:color w:val="000000"/>
        </w:rPr>
        <w:t xml:space="preserve">r </w:t>
      </w:r>
      <w:r>
        <w:rPr>
          <w:rFonts w:ascii="Times New Roman" w:hAnsi="Times New Roman" w:cs="Times New Roman"/>
          <w:b/>
          <w:bCs/>
          <w:color w:val="000000"/>
        </w:rPr>
        <w:t xml:space="preserve">= .31; ESQ-R </w:t>
      </w:r>
      <w:r w:rsidRPr="008E371C">
        <w:rPr>
          <w:rFonts w:ascii="Times New Roman" w:hAnsi="Times New Roman" w:cs="Times New Roman"/>
          <w:b/>
          <w:bCs/>
          <w:color w:val="000000"/>
        </w:rPr>
        <w:t xml:space="preserve">r </w:t>
      </w:r>
      <w:r>
        <w:rPr>
          <w:rFonts w:ascii="Times New Roman" w:hAnsi="Times New Roman" w:cs="Times New Roman"/>
          <w:b/>
          <w:bCs/>
          <w:color w:val="000000"/>
        </w:rPr>
        <w:t>= .2</w:t>
      </w:r>
      <w:r w:rsidR="006F47D6">
        <w:rPr>
          <w:rFonts w:ascii="Times New Roman" w:hAnsi="Times New Roman" w:cs="Times New Roman"/>
          <w:b/>
          <w:bCs/>
          <w:color w:val="000000"/>
        </w:rPr>
        <w:t>5</w:t>
      </w:r>
      <w:r>
        <w:rPr>
          <w:rFonts w:ascii="Times New Roman" w:hAnsi="Times New Roman" w:cs="Times New Roman"/>
          <w:b/>
          <w:bCs/>
          <w:color w:val="000000"/>
        </w:rPr>
        <w:t xml:space="preserve">; </w:t>
      </w:r>
      <w:r w:rsidRPr="008E371C">
        <w:rPr>
          <w:rFonts w:ascii="Times New Roman" w:hAnsi="Times New Roman" w:cs="Times New Roman"/>
          <w:b/>
          <w:bCs/>
          <w:color w:val="000000"/>
        </w:rPr>
        <w:t xml:space="preserve">p </w:t>
      </w:r>
      <w:r>
        <w:rPr>
          <w:rFonts w:ascii="Times New Roman" w:hAnsi="Times New Roman" w:cs="Times New Roman"/>
          <w:b/>
          <w:bCs/>
          <w:color w:val="000000"/>
        </w:rPr>
        <w:t>&lt; .01</w:t>
      </w:r>
      <w:r w:rsidR="004E01CC">
        <w:rPr>
          <w:rFonts w:ascii="Times New Roman" w:hAnsi="Times New Roman" w:cs="Times New Roman"/>
          <w:b/>
          <w:bCs/>
          <w:color w:val="000000"/>
        </w:rPr>
        <w:t>)</w:t>
      </w:r>
      <w:r w:rsidR="00066C5E">
        <w:rPr>
          <w:rFonts w:ascii="Times New Roman" w:hAnsi="Times New Roman" w:cs="Times New Roman"/>
          <w:b/>
          <w:bCs/>
          <w:color w:val="000000"/>
        </w:rPr>
        <w:t>.</w:t>
      </w:r>
      <w:r w:rsidR="00A7628B">
        <w:rPr>
          <w:rFonts w:ascii="Times New Roman" w:hAnsi="Times New Roman" w:cs="Times New Roman"/>
          <w:b/>
          <w:bCs/>
          <w:color w:val="000000"/>
        </w:rPr>
        <w:t xml:space="preserve"> The more types of ACEs participants reported childhood exposure to, the greater their self-reported EF difficulties at present.</w:t>
      </w:r>
    </w:p>
    <w:p w14:paraId="7265298D" w14:textId="038F8154" w:rsidR="00066C5E" w:rsidRDefault="008E371C" w:rsidP="008E371C">
      <w:pPr>
        <w:ind w:left="-360"/>
        <w:rPr>
          <w:rFonts w:ascii="Times New Roman" w:hAnsi="Times New Roman" w:cs="Times New Roman"/>
          <w:b/>
          <w:bCs/>
          <w:color w:val="000000"/>
        </w:rPr>
      </w:pPr>
      <w:r>
        <w:rPr>
          <w:rFonts w:ascii="Times New Roman" w:hAnsi="Times New Roman" w:cs="Times New Roman"/>
          <w:b/>
          <w:bCs/>
          <w:color w:val="000000"/>
        </w:rPr>
        <w:t>H</w:t>
      </w:r>
      <w:r w:rsidR="00B1172C">
        <w:rPr>
          <w:rFonts w:ascii="Times New Roman" w:hAnsi="Times New Roman" w:cs="Times New Roman"/>
          <w:b/>
          <w:bCs/>
          <w:color w:val="000000"/>
        </w:rPr>
        <w:t xml:space="preserve">owever, </w:t>
      </w:r>
      <w:r w:rsidR="00066C5E">
        <w:rPr>
          <w:rFonts w:ascii="Times New Roman" w:hAnsi="Times New Roman" w:cs="Times New Roman"/>
          <w:b/>
          <w:bCs/>
          <w:color w:val="000000"/>
        </w:rPr>
        <w:t xml:space="preserve">multiplicity </w:t>
      </w:r>
      <w:r w:rsidR="006F47D6">
        <w:rPr>
          <w:rFonts w:ascii="Times New Roman" w:hAnsi="Times New Roman" w:cs="Times New Roman"/>
          <w:b/>
          <w:bCs/>
          <w:color w:val="000000"/>
        </w:rPr>
        <w:t>scores were not significantly associated with EF scores on the direct neuropsychological tests from the WJ IV COG designated in previous literature as most likely to measure EF (</w:t>
      </w:r>
      <w:r w:rsidR="004E01CC" w:rsidRPr="008E371C">
        <w:rPr>
          <w:rFonts w:ascii="Times New Roman" w:hAnsi="Times New Roman" w:cs="Times New Roman"/>
          <w:b/>
          <w:bCs/>
          <w:color w:val="000000"/>
        </w:rPr>
        <w:t xml:space="preserve">n </w:t>
      </w:r>
      <w:r w:rsidR="004E01CC">
        <w:rPr>
          <w:rFonts w:ascii="Times New Roman" w:hAnsi="Times New Roman" w:cs="Times New Roman"/>
          <w:b/>
          <w:bCs/>
          <w:color w:val="000000"/>
        </w:rPr>
        <w:t xml:space="preserve">= 43; </w:t>
      </w:r>
      <w:r w:rsidR="006F47D6">
        <w:rPr>
          <w:rFonts w:ascii="Times New Roman" w:hAnsi="Times New Roman" w:cs="Times New Roman"/>
          <w:b/>
          <w:bCs/>
          <w:color w:val="000000"/>
        </w:rPr>
        <w:t xml:space="preserve">WJ IV COG Number Series </w:t>
      </w:r>
      <w:r w:rsidR="006F47D6" w:rsidRPr="008E371C">
        <w:rPr>
          <w:rFonts w:ascii="Times New Roman" w:hAnsi="Times New Roman" w:cs="Times New Roman"/>
          <w:b/>
          <w:bCs/>
          <w:color w:val="000000"/>
        </w:rPr>
        <w:t xml:space="preserve">r </w:t>
      </w:r>
      <w:r w:rsidR="006F47D6">
        <w:rPr>
          <w:rFonts w:ascii="Times New Roman" w:hAnsi="Times New Roman" w:cs="Times New Roman"/>
          <w:b/>
          <w:bCs/>
          <w:color w:val="000000"/>
        </w:rPr>
        <w:t xml:space="preserve">= .21; Verbal Attention </w:t>
      </w:r>
      <w:r w:rsidR="006F47D6" w:rsidRPr="008E371C">
        <w:rPr>
          <w:rFonts w:ascii="Times New Roman" w:hAnsi="Times New Roman" w:cs="Times New Roman"/>
          <w:b/>
          <w:bCs/>
          <w:color w:val="000000"/>
        </w:rPr>
        <w:t xml:space="preserve">r </w:t>
      </w:r>
      <w:r w:rsidR="006F47D6">
        <w:rPr>
          <w:rFonts w:ascii="Times New Roman" w:hAnsi="Times New Roman" w:cs="Times New Roman"/>
          <w:b/>
          <w:bCs/>
          <w:color w:val="000000"/>
        </w:rPr>
        <w:t xml:space="preserve">= -.09; Visualization </w:t>
      </w:r>
      <w:r w:rsidR="006F47D6" w:rsidRPr="008E371C">
        <w:rPr>
          <w:rFonts w:ascii="Times New Roman" w:hAnsi="Times New Roman" w:cs="Times New Roman"/>
          <w:b/>
          <w:bCs/>
          <w:color w:val="000000"/>
        </w:rPr>
        <w:t xml:space="preserve">r </w:t>
      </w:r>
      <w:r w:rsidR="006F47D6">
        <w:rPr>
          <w:rFonts w:ascii="Times New Roman" w:hAnsi="Times New Roman" w:cs="Times New Roman"/>
          <w:b/>
          <w:bCs/>
          <w:color w:val="000000"/>
        </w:rPr>
        <w:t xml:space="preserve">= .20; Number Reversed </w:t>
      </w:r>
      <w:r w:rsidR="006F47D6" w:rsidRPr="008E371C">
        <w:rPr>
          <w:rFonts w:ascii="Times New Roman" w:hAnsi="Times New Roman" w:cs="Times New Roman"/>
          <w:b/>
          <w:bCs/>
          <w:color w:val="000000"/>
        </w:rPr>
        <w:t xml:space="preserve">r </w:t>
      </w:r>
      <w:r w:rsidR="006F47D6">
        <w:rPr>
          <w:rFonts w:ascii="Times New Roman" w:hAnsi="Times New Roman" w:cs="Times New Roman"/>
          <w:b/>
          <w:bCs/>
          <w:color w:val="000000"/>
        </w:rPr>
        <w:t xml:space="preserve">= .14). </w:t>
      </w:r>
    </w:p>
    <w:p w14:paraId="0351368D" w14:textId="7962953D" w:rsidR="003616DC" w:rsidRDefault="003616DC" w:rsidP="003616DC">
      <w:pPr>
        <w:pStyle w:val="ListParagraph"/>
        <w:numPr>
          <w:ilvl w:val="1"/>
          <w:numId w:val="1"/>
        </w:numPr>
        <w:rPr>
          <w:rFonts w:ascii="Times New Roman" w:hAnsi="Times New Roman" w:cs="Times New Roman"/>
          <w:bCs/>
          <w:color w:val="000000"/>
        </w:rPr>
      </w:pPr>
      <w:r w:rsidRPr="00B92591">
        <w:rPr>
          <w:rFonts w:ascii="Times New Roman" w:hAnsi="Times New Roman" w:cs="Times New Roman"/>
          <w:bCs/>
          <w:color w:val="000000"/>
        </w:rPr>
        <w:t xml:space="preserve">Hypothesis: Overall ACEs severity will significantly predict EF performance across measures. </w:t>
      </w:r>
    </w:p>
    <w:p w14:paraId="1048D3F0" w14:textId="4E3C0EE3" w:rsidR="008E371C" w:rsidRPr="008E371C" w:rsidRDefault="008E371C" w:rsidP="008E371C">
      <w:pPr>
        <w:ind w:left="-360"/>
        <w:rPr>
          <w:rFonts w:ascii="Times New Roman" w:hAnsi="Times New Roman" w:cs="Times New Roman"/>
          <w:b/>
          <w:bCs/>
          <w:color w:val="000000"/>
        </w:rPr>
      </w:pPr>
      <w:r w:rsidRPr="008E371C">
        <w:rPr>
          <w:rFonts w:ascii="Times New Roman" w:hAnsi="Times New Roman" w:cs="Times New Roman"/>
          <w:b/>
          <w:bCs/>
          <w:color w:val="000000"/>
        </w:rPr>
        <w:t xml:space="preserve">Results of correlation analyses indicate that the </w:t>
      </w:r>
      <w:r w:rsidR="00320149">
        <w:rPr>
          <w:rFonts w:ascii="Times New Roman" w:hAnsi="Times New Roman" w:cs="Times New Roman"/>
          <w:b/>
          <w:bCs/>
          <w:color w:val="000000"/>
        </w:rPr>
        <w:t>severity</w:t>
      </w:r>
      <w:r w:rsidRPr="008E371C">
        <w:rPr>
          <w:rFonts w:ascii="Times New Roman" w:hAnsi="Times New Roman" w:cs="Times New Roman"/>
          <w:b/>
          <w:bCs/>
          <w:color w:val="000000"/>
        </w:rPr>
        <w:t xml:space="preserve"> of ACEs participants </w:t>
      </w:r>
      <w:r w:rsidR="0074426B">
        <w:rPr>
          <w:rFonts w:ascii="Times New Roman" w:hAnsi="Times New Roman" w:cs="Times New Roman"/>
          <w:b/>
          <w:bCs/>
          <w:color w:val="000000"/>
        </w:rPr>
        <w:t>report having</w:t>
      </w:r>
      <w:r w:rsidRPr="008E371C">
        <w:rPr>
          <w:rFonts w:ascii="Times New Roman" w:hAnsi="Times New Roman" w:cs="Times New Roman"/>
          <w:b/>
          <w:bCs/>
          <w:color w:val="000000"/>
        </w:rPr>
        <w:t xml:space="preserve"> experienced (MAES </w:t>
      </w:r>
      <w:r w:rsidR="0074426B">
        <w:rPr>
          <w:rFonts w:ascii="Times New Roman" w:hAnsi="Times New Roman" w:cs="Times New Roman"/>
          <w:b/>
          <w:bCs/>
          <w:color w:val="000000"/>
        </w:rPr>
        <w:t>severity/summary</w:t>
      </w:r>
      <w:r w:rsidRPr="008E371C">
        <w:rPr>
          <w:rFonts w:ascii="Times New Roman" w:hAnsi="Times New Roman" w:cs="Times New Roman"/>
          <w:b/>
          <w:bCs/>
          <w:color w:val="000000"/>
        </w:rPr>
        <w:t xml:space="preserve"> score) is significantly associated with total scores on all three EF behavior rating scales (</w:t>
      </w:r>
      <w:r w:rsidRPr="008E371C">
        <w:rPr>
          <w:rFonts w:ascii="Times New Roman" w:hAnsi="Times New Roman" w:cs="Times New Roman"/>
          <w:b/>
          <w:bCs/>
          <w:i/>
          <w:color w:val="000000"/>
        </w:rPr>
        <w:t xml:space="preserve">n </w:t>
      </w:r>
      <w:r w:rsidRPr="008E371C">
        <w:rPr>
          <w:rFonts w:ascii="Times New Roman" w:hAnsi="Times New Roman" w:cs="Times New Roman"/>
          <w:b/>
          <w:bCs/>
          <w:color w:val="000000"/>
        </w:rPr>
        <w:t xml:space="preserve">= </w:t>
      </w:r>
      <w:r w:rsidR="004F492E">
        <w:rPr>
          <w:rFonts w:ascii="Times New Roman" w:hAnsi="Times New Roman" w:cs="Times New Roman"/>
          <w:b/>
          <w:bCs/>
          <w:color w:val="000000"/>
        </w:rPr>
        <w:t>371</w:t>
      </w:r>
      <w:r w:rsidRPr="008E371C">
        <w:rPr>
          <w:rFonts w:ascii="Times New Roman" w:hAnsi="Times New Roman" w:cs="Times New Roman"/>
          <w:b/>
          <w:bCs/>
          <w:color w:val="000000"/>
        </w:rPr>
        <w:t xml:space="preserve">; BDEFS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xml:space="preserve">= </w:t>
      </w:r>
      <w:r w:rsidR="00654A2F">
        <w:rPr>
          <w:rFonts w:ascii="Times New Roman" w:hAnsi="Times New Roman" w:cs="Times New Roman"/>
          <w:b/>
          <w:bCs/>
          <w:color w:val="000000"/>
        </w:rPr>
        <w:t>.29</w:t>
      </w:r>
      <w:r w:rsidRPr="008E371C">
        <w:rPr>
          <w:rFonts w:ascii="Times New Roman" w:hAnsi="Times New Roman" w:cs="Times New Roman"/>
          <w:b/>
          <w:bCs/>
          <w:color w:val="000000"/>
        </w:rPr>
        <w:t xml:space="preserve">; BRIEF GEC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w:t>
      </w:r>
      <w:r w:rsidR="00654A2F">
        <w:rPr>
          <w:rFonts w:ascii="Times New Roman" w:hAnsi="Times New Roman" w:cs="Times New Roman"/>
          <w:b/>
          <w:bCs/>
          <w:color w:val="000000"/>
        </w:rPr>
        <w:t>34</w:t>
      </w:r>
      <w:r w:rsidRPr="008E371C">
        <w:rPr>
          <w:rFonts w:ascii="Times New Roman" w:hAnsi="Times New Roman" w:cs="Times New Roman"/>
          <w:b/>
          <w:bCs/>
          <w:color w:val="000000"/>
        </w:rPr>
        <w:t xml:space="preserve">; ESQ-R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.2</w:t>
      </w:r>
      <w:r w:rsidR="00654A2F">
        <w:rPr>
          <w:rFonts w:ascii="Times New Roman" w:hAnsi="Times New Roman" w:cs="Times New Roman"/>
          <w:b/>
          <w:bCs/>
          <w:color w:val="000000"/>
        </w:rPr>
        <w:t>7</w:t>
      </w:r>
      <w:r w:rsidRPr="008E371C">
        <w:rPr>
          <w:rFonts w:ascii="Times New Roman" w:hAnsi="Times New Roman" w:cs="Times New Roman"/>
          <w:b/>
          <w:bCs/>
          <w:color w:val="000000"/>
        </w:rPr>
        <w:t xml:space="preserve">; </w:t>
      </w:r>
      <w:r w:rsidRPr="008E371C">
        <w:rPr>
          <w:rFonts w:ascii="Times New Roman" w:hAnsi="Times New Roman" w:cs="Times New Roman"/>
          <w:b/>
          <w:bCs/>
          <w:i/>
          <w:color w:val="000000"/>
        </w:rPr>
        <w:t xml:space="preserve">p </w:t>
      </w:r>
      <w:r w:rsidRPr="008E371C">
        <w:rPr>
          <w:rFonts w:ascii="Times New Roman" w:hAnsi="Times New Roman" w:cs="Times New Roman"/>
          <w:b/>
          <w:bCs/>
          <w:color w:val="000000"/>
        </w:rPr>
        <w:t xml:space="preserve">&lt; .01). The more </w:t>
      </w:r>
      <w:r w:rsidR="00B53E5B">
        <w:rPr>
          <w:rFonts w:ascii="Times New Roman" w:hAnsi="Times New Roman" w:cs="Times New Roman"/>
          <w:b/>
          <w:bCs/>
          <w:color w:val="000000"/>
        </w:rPr>
        <w:t>severe the</w:t>
      </w:r>
      <w:r w:rsidRPr="008E371C">
        <w:rPr>
          <w:rFonts w:ascii="Times New Roman" w:hAnsi="Times New Roman" w:cs="Times New Roman"/>
          <w:b/>
          <w:bCs/>
          <w:color w:val="000000"/>
        </w:rPr>
        <w:t xml:space="preserve"> ACEs participants reported childhood exposure to, the greater their self-reported EF difficulties at present.</w:t>
      </w:r>
    </w:p>
    <w:p w14:paraId="2CEEEB9B" w14:textId="77777777" w:rsidR="00A864F2" w:rsidRDefault="008E371C" w:rsidP="008E371C">
      <w:pPr>
        <w:ind w:left="-360"/>
        <w:rPr>
          <w:rFonts w:ascii="Times New Roman" w:hAnsi="Times New Roman" w:cs="Times New Roman"/>
          <w:b/>
          <w:bCs/>
          <w:color w:val="000000"/>
        </w:rPr>
      </w:pPr>
      <w:r w:rsidRPr="008E371C">
        <w:rPr>
          <w:rFonts w:ascii="Times New Roman" w:hAnsi="Times New Roman" w:cs="Times New Roman"/>
          <w:b/>
          <w:bCs/>
          <w:color w:val="000000"/>
        </w:rPr>
        <w:t>Contrary to our hypothesis, however, multiplicity scores were not significantly associated with EF scores on the direct neuropsychological tests from the WJ IV COG designated in previous literature as most likely to measure EF (</w:t>
      </w:r>
      <w:r w:rsidRPr="008E371C">
        <w:rPr>
          <w:rFonts w:ascii="Times New Roman" w:hAnsi="Times New Roman" w:cs="Times New Roman"/>
          <w:b/>
          <w:bCs/>
          <w:i/>
          <w:color w:val="000000"/>
        </w:rPr>
        <w:t xml:space="preserve">n </w:t>
      </w:r>
      <w:r w:rsidRPr="008E371C">
        <w:rPr>
          <w:rFonts w:ascii="Times New Roman" w:hAnsi="Times New Roman" w:cs="Times New Roman"/>
          <w:b/>
          <w:bCs/>
          <w:color w:val="000000"/>
        </w:rPr>
        <w:t xml:space="preserve">= 43; WJ IV COG Number Series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w:t>
      </w:r>
      <w:r w:rsidR="0012150B">
        <w:rPr>
          <w:rFonts w:ascii="Times New Roman" w:hAnsi="Times New Roman" w:cs="Times New Roman"/>
          <w:b/>
          <w:bCs/>
          <w:color w:val="000000"/>
        </w:rPr>
        <w:t>20</w:t>
      </w:r>
      <w:r w:rsidRPr="008E371C">
        <w:rPr>
          <w:rFonts w:ascii="Times New Roman" w:hAnsi="Times New Roman" w:cs="Times New Roman"/>
          <w:b/>
          <w:bCs/>
          <w:color w:val="000000"/>
        </w:rPr>
        <w:t xml:space="preserve">; Verbal Attention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w:t>
      </w:r>
      <w:r w:rsidR="0012150B">
        <w:rPr>
          <w:rFonts w:ascii="Times New Roman" w:hAnsi="Times New Roman" w:cs="Times New Roman"/>
          <w:b/>
          <w:bCs/>
          <w:color w:val="000000"/>
        </w:rPr>
        <w:t>14</w:t>
      </w:r>
      <w:r w:rsidRPr="008E371C">
        <w:rPr>
          <w:rFonts w:ascii="Times New Roman" w:hAnsi="Times New Roman" w:cs="Times New Roman"/>
          <w:b/>
          <w:bCs/>
          <w:color w:val="000000"/>
        </w:rPr>
        <w:t xml:space="preserve">; Visualization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xml:space="preserve">= .20; Number Reversed </w:t>
      </w:r>
      <w:r w:rsidRPr="008E371C">
        <w:rPr>
          <w:rFonts w:ascii="Times New Roman" w:hAnsi="Times New Roman" w:cs="Times New Roman"/>
          <w:b/>
          <w:bCs/>
          <w:i/>
          <w:color w:val="000000"/>
        </w:rPr>
        <w:t xml:space="preserve">r </w:t>
      </w:r>
      <w:r w:rsidRPr="008E371C">
        <w:rPr>
          <w:rFonts w:ascii="Times New Roman" w:hAnsi="Times New Roman" w:cs="Times New Roman"/>
          <w:b/>
          <w:bCs/>
          <w:color w:val="000000"/>
        </w:rPr>
        <w:t>= .</w:t>
      </w:r>
      <w:r w:rsidR="00450107">
        <w:rPr>
          <w:rFonts w:ascii="Times New Roman" w:hAnsi="Times New Roman" w:cs="Times New Roman"/>
          <w:b/>
          <w:bCs/>
          <w:color w:val="000000"/>
        </w:rPr>
        <w:t>06</w:t>
      </w:r>
      <w:r w:rsidRPr="008E371C">
        <w:rPr>
          <w:rFonts w:ascii="Times New Roman" w:hAnsi="Times New Roman" w:cs="Times New Roman"/>
          <w:b/>
          <w:bCs/>
          <w:color w:val="000000"/>
        </w:rPr>
        <w:t xml:space="preserve">). </w:t>
      </w:r>
    </w:p>
    <w:p w14:paraId="512756E4" w14:textId="2478C338" w:rsidR="00A864F2" w:rsidRDefault="00020245" w:rsidP="008E371C">
      <w:pPr>
        <w:ind w:left="-360"/>
        <w:rPr>
          <w:rFonts w:ascii="Times New Roman" w:hAnsi="Times New Roman" w:cs="Times New Roman"/>
          <w:b/>
          <w:bCs/>
          <w:color w:val="000000"/>
        </w:rPr>
      </w:pPr>
      <w:r>
        <w:rPr>
          <w:rFonts w:ascii="Times New Roman" w:hAnsi="Times New Roman" w:cs="Times New Roman"/>
          <w:b/>
          <w:bCs/>
          <w:color w:val="000000"/>
        </w:rPr>
        <w:t>---</w:t>
      </w:r>
    </w:p>
    <w:p w14:paraId="474E602A" w14:textId="02434A06" w:rsidR="00A864F2" w:rsidRDefault="00A864F2" w:rsidP="00A864F2">
      <w:pPr>
        <w:ind w:left="-360"/>
        <w:rPr>
          <w:rFonts w:ascii="Times New Roman" w:hAnsi="Times New Roman" w:cs="Times New Roman"/>
          <w:b/>
          <w:bCs/>
          <w:color w:val="000000"/>
        </w:rPr>
      </w:pPr>
      <w:r>
        <w:rPr>
          <w:rFonts w:ascii="Times New Roman" w:hAnsi="Times New Roman" w:cs="Times New Roman"/>
          <w:b/>
          <w:bCs/>
          <w:color w:val="000000"/>
        </w:rPr>
        <w:t>Overall, therefore, Hypothesis #1 was not supported. It is likely, however, that disproportionately small sample sizes for the direct neuropsychological test analyses impacted these results, given the fact that small sample sizes limit power to detect statistically significant relationships among variables.</w:t>
      </w:r>
    </w:p>
    <w:p w14:paraId="2DDCA5C0" w14:textId="64D16BF4" w:rsidR="008E371C" w:rsidRDefault="005C4D19" w:rsidP="008E371C">
      <w:pPr>
        <w:ind w:left="-360"/>
        <w:rPr>
          <w:rFonts w:ascii="Times New Roman" w:hAnsi="Times New Roman" w:cs="Times New Roman"/>
          <w:b/>
          <w:bCs/>
          <w:color w:val="000000"/>
        </w:rPr>
      </w:pPr>
      <w:r>
        <w:rPr>
          <w:rFonts w:ascii="Times New Roman" w:hAnsi="Times New Roman" w:cs="Times New Roman"/>
          <w:b/>
          <w:bCs/>
          <w:color w:val="000000"/>
        </w:rPr>
        <w:t>Interestingly, the positive valence of some of these correlations is in the opposite direction from that which was expected. Specifically, those with higher ACEs scores appear to have had higher standard scores on several WJ IV COG subtests.</w:t>
      </w:r>
    </w:p>
    <w:p w14:paraId="5DA66AC1" w14:textId="77777777" w:rsidR="003616DC" w:rsidRPr="00B92591" w:rsidRDefault="003616DC" w:rsidP="003616DC">
      <w:pPr>
        <w:pStyle w:val="ListParagraph"/>
        <w:numPr>
          <w:ilvl w:val="0"/>
          <w:numId w:val="1"/>
        </w:numPr>
        <w:ind w:left="180" w:hanging="180"/>
        <w:rPr>
          <w:rFonts w:ascii="Times New Roman" w:hAnsi="Times New Roman" w:cs="Times New Roman"/>
          <w:bCs/>
          <w:color w:val="000000"/>
        </w:rPr>
      </w:pPr>
      <w:r w:rsidRPr="00B92591">
        <w:rPr>
          <w:rFonts w:ascii="Times New Roman" w:hAnsi="Times New Roman" w:cs="Times New Roman"/>
          <w:bCs/>
          <w:color w:val="000000"/>
        </w:rPr>
        <w:t>Does the relationship between ACEs and EF vary as a function of measurement method?</w:t>
      </w:r>
    </w:p>
    <w:p w14:paraId="545A5C69" w14:textId="6B3D3ED8" w:rsidR="003616DC" w:rsidRDefault="003616DC" w:rsidP="003616DC">
      <w:pPr>
        <w:pStyle w:val="ListParagraph"/>
        <w:numPr>
          <w:ilvl w:val="1"/>
          <w:numId w:val="1"/>
        </w:numPr>
        <w:rPr>
          <w:rFonts w:ascii="Times New Roman" w:hAnsi="Times New Roman" w:cs="Times New Roman"/>
          <w:bCs/>
          <w:color w:val="000000"/>
        </w:rPr>
      </w:pPr>
      <w:r w:rsidRPr="00B92591">
        <w:rPr>
          <w:rFonts w:ascii="Times New Roman" w:hAnsi="Times New Roman" w:cs="Times New Roman"/>
          <w:bCs/>
          <w:color w:val="000000"/>
        </w:rPr>
        <w:t xml:space="preserve">Hypothesis: In line with previous research showing stronger convergent validity among self-report EF measures than direct EF tasks </w:t>
      </w:r>
      <w:r w:rsidRPr="00B92591">
        <w:rPr>
          <w:rFonts w:ascii="Times New Roman" w:hAnsi="Times New Roman" w:cs="Times New Roman"/>
          <w:bCs/>
          <w:color w:val="000000"/>
        </w:rPr>
        <w:fldChar w:fldCharType="begin" w:fldLock="1"/>
      </w:r>
      <w:r w:rsidRPr="00B92591">
        <w:rPr>
          <w:rFonts w:ascii="Times New Roman" w:hAnsi="Times New Roman" w:cs="Times New Roman"/>
          <w:bCs/>
          <w:color w:val="000000"/>
        </w:rPr>
        <w:instrText>ADDIN CSL_CITATION {"citationItems":[{"id":"ITEM-1","itemData":{"DOI":"10.1016/j.jrp.2011.02.004","ISSN":"0092-6566","PMID":"21643479","abstract":"There is extraordinary diversity in how the construct of self-control is operationalized in research studies. We meta-analytically examined evidence of convergent validity among executive function, delay of gratification, and self- and informant-report questionnaire measures of self-control. Overall, measures demonstrated moderate convergence (r(random) = .27 [95% CI = .24, .30]; r(fixed) = .34 [.33, .35], k = 282 samples, N = 33,564 participants), although there was substantial heterogeneity in the observed correlations. Correlations within and across types of self-control measures were strongest for informant-report questionnaires and weakest for executive function tasks. Questionnaires assessing sensation seeking impulses could be distinguished from questionnaires assessing processes of impulse regulation. We conclude that self-control is a coherent but multidimensional construct best assessed using multiple methods.","author":[{"dropping-particle":"","family":"Duckworth","given":"Angela Lee","non-dropping-particle":"","parse-names":false,"suffix":""},{"dropping-particle":"","family":"Kern","given":"Margaret L","non-dropping-particle":"","parse-names":false,"suffix":""}],"container-title":"Journal of research in personality","id":"ITEM-1","issue":"3","issued":{"date-parts":[["2011","6","1"]]},"page":"259-268","publisher":"NIH Public Access","title":"A Meta-Analysis of the Convergent Validity of Self-Control Measures.","type":"article-journal","volume":"45"},"uris":["http://www.mendeley.com/documents/?uuid=33b07d9b-1998-35da-96ed-c0198db7ca62"]}],"mendeley":{"formattedCitation":"(Duckworth &amp; Kern, 2011)","plainTextFormattedCitation":"(Duckworth &amp; Kern, 2011)","previouslyFormattedCitation":"(Duckworth &amp; Kern, 2011)"},"properties":{"noteIndex":0},"schema":"https://github.com/citation-style-language/schema/raw/master/csl-citation.json"}</w:instrText>
      </w:r>
      <w:r w:rsidRPr="00B92591">
        <w:rPr>
          <w:rFonts w:ascii="Times New Roman" w:hAnsi="Times New Roman" w:cs="Times New Roman"/>
          <w:bCs/>
          <w:color w:val="000000"/>
        </w:rPr>
        <w:fldChar w:fldCharType="separate"/>
      </w:r>
      <w:r w:rsidRPr="00B92591">
        <w:rPr>
          <w:rFonts w:ascii="Times New Roman" w:hAnsi="Times New Roman" w:cs="Times New Roman"/>
          <w:bCs/>
          <w:noProof/>
          <w:color w:val="000000"/>
        </w:rPr>
        <w:t>(Duckworth &amp; Kern, 2011)</w:t>
      </w:r>
      <w:r w:rsidRPr="00B92591">
        <w:rPr>
          <w:rFonts w:ascii="Times New Roman" w:hAnsi="Times New Roman" w:cs="Times New Roman"/>
          <w:bCs/>
          <w:color w:val="000000"/>
        </w:rPr>
        <w:fldChar w:fldCharType="end"/>
      </w:r>
      <w:r w:rsidRPr="00B92591">
        <w:rPr>
          <w:rFonts w:ascii="Times New Roman" w:hAnsi="Times New Roman" w:cs="Times New Roman"/>
          <w:bCs/>
          <w:color w:val="000000"/>
        </w:rPr>
        <w:t xml:space="preserve">, and an average correlation of </w:t>
      </w:r>
      <w:r w:rsidRPr="00B92591">
        <w:rPr>
          <w:rFonts w:ascii="Times New Roman" w:hAnsi="Times New Roman" w:cs="Times New Roman"/>
          <w:bCs/>
          <w:i/>
          <w:color w:val="000000"/>
        </w:rPr>
        <w:t xml:space="preserve">r </w:t>
      </w:r>
      <w:r w:rsidRPr="00B92591">
        <w:rPr>
          <w:rFonts w:ascii="Times New Roman" w:hAnsi="Times New Roman" w:cs="Times New Roman"/>
          <w:bCs/>
          <w:color w:val="000000"/>
        </w:rPr>
        <w:t xml:space="preserve">= .19 between direct EF tasks and EF rating scales </w:t>
      </w:r>
      <w:r w:rsidRPr="00B92591">
        <w:rPr>
          <w:rFonts w:ascii="Times New Roman" w:hAnsi="Times New Roman" w:cs="Times New Roman"/>
          <w:bCs/>
          <w:color w:val="000000"/>
        </w:rPr>
        <w:fldChar w:fldCharType="begin" w:fldLock="1"/>
      </w:r>
      <w:r w:rsidRPr="00B92591">
        <w:rPr>
          <w:rFonts w:ascii="Times New Roman" w:hAnsi="Times New Roman" w:cs="Times New Roman"/>
          <w:bCs/>
          <w:color w:val="000000"/>
        </w:rPr>
        <w:instrText>ADDIN CSL_CITATION {"citationItems":[{"id":"ITEM-1","itemData":{"DOI":"10.1111/jcpp.12001","ISBN":"1469-7610","ISSN":"00219630","PMID":"23057693","abstract":"BACKGROUND: Both performance-based and rating measures are commonly used to index executive function in clinical and neuropsychological assessments. They are intended to index the same broad underlying mental construct of executive function. The association between these two types of measures was investigated in the current article.\\n\\nMETHOD AND RESULTS: We examined the association between performance-based and rating measures of executive function in 20 studies. These studies included 13 child and 7 adult samples, which were derived from 7 clinical, 2 nonclinical, and 11 combined clinical and nonclinical samples. Only 68 (24%) of the 286 relevant correlations reported in these studies were statistically significant, and the overall median correlation was only .19.\\n\\nCONCLUSIONS: It was concluded that performance-based and rating measures of executive function assess different underlying mental constructs. We discuss how these two types of measures appear to capture different levels of cognition, namely, the efficiency of cognitive abilities and success in goal pursuit. Clinical implications of using performance-based and rating measures of executive function are discussed, including the use of these measures in assessing ADHD.","author":[{"dropping-particle":"","family":"Toplak","given":"Maggie E.","non-dropping-particle":"","parse-names":false,"suffix":""},{"dropping-particle":"","family":"West","given":"Richard F.","non-dropping-particle":"","parse-names":false,"suffix":""},{"dropping-particle":"","family":"Stanovich","given":"Keith E.","non-dropping-particle":"","parse-names":false,"suffix":""}],"container-title":"Journal of Child Psychology and Psychiatry and Allied Disciplines","id":"ITEM-1","issue":"2","issued":{"date-parts":[["2013"]]},"page":"131-143","title":"Practitioner Review: Do performance-based measures and ratings of executive function assess the same construct?","type":"article-journal","volume":"54"},"uris":["http://www.mendeley.com/documents/?uuid=73f418f2-187b-4374-8c9d-7819b0d2a120"]}],"mendeley":{"formattedCitation":"(Toplak et al., 2013)","plainTextFormattedCitation":"(Toplak et al., 2013)","previouslyFormattedCitation":"(Toplak et al., 2013)"},"properties":{"noteIndex":0},"schema":"https://github.com/citation-style-language/schema/raw/master/csl-citation.json"}</w:instrText>
      </w:r>
      <w:r w:rsidRPr="00B92591">
        <w:rPr>
          <w:rFonts w:ascii="Times New Roman" w:hAnsi="Times New Roman" w:cs="Times New Roman"/>
          <w:bCs/>
          <w:color w:val="000000"/>
        </w:rPr>
        <w:fldChar w:fldCharType="separate"/>
      </w:r>
      <w:r w:rsidRPr="00B92591">
        <w:rPr>
          <w:rFonts w:ascii="Times New Roman" w:hAnsi="Times New Roman" w:cs="Times New Roman"/>
          <w:bCs/>
          <w:noProof/>
          <w:color w:val="000000"/>
        </w:rPr>
        <w:t>(Toplak et al., 2013)</w:t>
      </w:r>
      <w:r w:rsidRPr="00B92591">
        <w:rPr>
          <w:rFonts w:ascii="Times New Roman" w:hAnsi="Times New Roman" w:cs="Times New Roman"/>
          <w:bCs/>
          <w:color w:val="000000"/>
        </w:rPr>
        <w:fldChar w:fldCharType="end"/>
      </w:r>
      <w:r w:rsidRPr="00B92591">
        <w:rPr>
          <w:rFonts w:ascii="Times New Roman" w:hAnsi="Times New Roman" w:cs="Times New Roman"/>
          <w:bCs/>
          <w:color w:val="000000"/>
        </w:rPr>
        <w:t>, ACEs multiplicity and severity will be more strongly associated with self-report EF rating scale scores than on direct EF tasks.</w:t>
      </w:r>
    </w:p>
    <w:p w14:paraId="27A0DE74" w14:textId="63298DFA" w:rsidR="00D70487" w:rsidRPr="00011A42" w:rsidRDefault="00D70487" w:rsidP="00D70487">
      <w:pPr>
        <w:rPr>
          <w:rFonts w:ascii="Times New Roman" w:hAnsi="Times New Roman" w:cs="Times New Roman"/>
          <w:b/>
          <w:bCs/>
          <w:color w:val="000000"/>
        </w:rPr>
      </w:pPr>
      <w:r w:rsidRPr="00011A42">
        <w:rPr>
          <w:rFonts w:ascii="Times New Roman" w:hAnsi="Times New Roman" w:cs="Times New Roman"/>
          <w:b/>
          <w:bCs/>
          <w:color w:val="000000"/>
        </w:rPr>
        <w:lastRenderedPageBreak/>
        <w:t xml:space="preserve">Based on the correlations reported above, this hypothesis was supported. ACEs multiplicity and severity scores were more strongly (and statistically significantly) correlated with EF scores on self-report behavior rating scales than on direct neuropsychological tests. </w:t>
      </w:r>
    </w:p>
    <w:p w14:paraId="268E9AB4" w14:textId="5A844B7F" w:rsidR="00D70487" w:rsidRDefault="00D70487" w:rsidP="00D70487">
      <w:pPr>
        <w:rPr>
          <w:rFonts w:ascii="Times New Roman" w:hAnsi="Times New Roman" w:cs="Times New Roman"/>
          <w:b/>
          <w:bCs/>
          <w:color w:val="000000"/>
        </w:rPr>
      </w:pPr>
      <w:r w:rsidRPr="00011A42">
        <w:rPr>
          <w:rFonts w:ascii="Times New Roman" w:hAnsi="Times New Roman" w:cs="Times New Roman"/>
          <w:b/>
          <w:bCs/>
          <w:color w:val="000000"/>
        </w:rPr>
        <w:t xml:space="preserve">Further, </w:t>
      </w:r>
      <w:r w:rsidR="00011A42" w:rsidRPr="00011A42">
        <w:rPr>
          <w:rFonts w:ascii="Times New Roman" w:hAnsi="Times New Roman" w:cs="Times New Roman"/>
          <w:b/>
          <w:bCs/>
          <w:color w:val="000000"/>
        </w:rPr>
        <w:t>of the four WJ IV COG tests administered that were previously hypothesized as most likely to measure EF (Decker et al., 2017), only one showed significant correlations with scores on an EF behavior rating scale</w:t>
      </w:r>
      <w:r w:rsidR="0048073F">
        <w:rPr>
          <w:rFonts w:ascii="Times New Roman" w:hAnsi="Times New Roman" w:cs="Times New Roman"/>
          <w:b/>
          <w:bCs/>
          <w:color w:val="000000"/>
        </w:rPr>
        <w:t xml:space="preserve"> in the current sample</w:t>
      </w:r>
      <w:r w:rsidR="00011A42" w:rsidRPr="00011A42">
        <w:rPr>
          <w:rFonts w:ascii="Times New Roman" w:hAnsi="Times New Roman" w:cs="Times New Roman"/>
          <w:b/>
          <w:bCs/>
          <w:color w:val="000000"/>
        </w:rPr>
        <w:t>: Participant scores on Verbal Attention from the WJ IV COG showed a significant correlation with total scores on the BDEFS (</w:t>
      </w:r>
      <w:r w:rsidR="00011A42" w:rsidRPr="00011A42">
        <w:rPr>
          <w:rFonts w:ascii="Times New Roman" w:hAnsi="Times New Roman" w:cs="Times New Roman"/>
          <w:b/>
          <w:bCs/>
          <w:i/>
          <w:color w:val="000000"/>
        </w:rPr>
        <w:t xml:space="preserve">r </w:t>
      </w:r>
      <w:r w:rsidR="00011A42" w:rsidRPr="00011A42">
        <w:rPr>
          <w:rFonts w:ascii="Times New Roman" w:hAnsi="Times New Roman" w:cs="Times New Roman"/>
          <w:b/>
          <w:bCs/>
          <w:color w:val="000000"/>
        </w:rPr>
        <w:t xml:space="preserve">= -.30, </w:t>
      </w:r>
      <w:r w:rsidR="00011A42" w:rsidRPr="00011A42">
        <w:rPr>
          <w:rFonts w:ascii="Times New Roman" w:hAnsi="Times New Roman" w:cs="Times New Roman"/>
          <w:b/>
          <w:bCs/>
          <w:i/>
          <w:color w:val="000000"/>
        </w:rPr>
        <w:t xml:space="preserve"> p </w:t>
      </w:r>
      <w:r w:rsidR="00011A42" w:rsidRPr="00011A42">
        <w:rPr>
          <w:rFonts w:ascii="Times New Roman" w:hAnsi="Times New Roman" w:cs="Times New Roman"/>
          <w:b/>
          <w:bCs/>
          <w:color w:val="000000"/>
        </w:rPr>
        <w:t xml:space="preserve">= .04, </w:t>
      </w:r>
      <w:r w:rsidR="00011A42" w:rsidRPr="00011A42">
        <w:rPr>
          <w:rFonts w:ascii="Times New Roman" w:hAnsi="Times New Roman" w:cs="Times New Roman"/>
          <w:b/>
          <w:bCs/>
          <w:i/>
          <w:color w:val="000000"/>
        </w:rPr>
        <w:t xml:space="preserve">n </w:t>
      </w:r>
      <w:r w:rsidR="00011A42" w:rsidRPr="00011A42">
        <w:rPr>
          <w:rFonts w:ascii="Times New Roman" w:hAnsi="Times New Roman" w:cs="Times New Roman"/>
          <w:b/>
          <w:bCs/>
          <w:color w:val="000000"/>
        </w:rPr>
        <w:t>= 49).</w:t>
      </w:r>
      <w:r w:rsidR="00207455">
        <w:rPr>
          <w:rFonts w:ascii="Times New Roman" w:hAnsi="Times New Roman" w:cs="Times New Roman"/>
          <w:b/>
          <w:bCs/>
          <w:color w:val="000000"/>
        </w:rPr>
        <w:t xml:space="preserve"> Correlations between Verbal Attention scores and the other self-report EF behavior rating scale scores were similar in magnitude but not statistically significant (BRIEF GEC </w:t>
      </w:r>
      <w:r w:rsidR="00207455" w:rsidRPr="00011A42">
        <w:rPr>
          <w:rFonts w:ascii="Times New Roman" w:hAnsi="Times New Roman" w:cs="Times New Roman"/>
          <w:b/>
          <w:bCs/>
          <w:i/>
          <w:color w:val="000000"/>
        </w:rPr>
        <w:t xml:space="preserve">r </w:t>
      </w:r>
      <w:r w:rsidR="00207455" w:rsidRPr="00011A42">
        <w:rPr>
          <w:rFonts w:ascii="Times New Roman" w:hAnsi="Times New Roman" w:cs="Times New Roman"/>
          <w:b/>
          <w:bCs/>
          <w:color w:val="000000"/>
        </w:rPr>
        <w:t>= -.</w:t>
      </w:r>
      <w:r w:rsidR="00207455">
        <w:rPr>
          <w:rFonts w:ascii="Times New Roman" w:hAnsi="Times New Roman" w:cs="Times New Roman"/>
          <w:b/>
          <w:bCs/>
          <w:color w:val="000000"/>
        </w:rPr>
        <w:t>28</w:t>
      </w:r>
      <w:r w:rsidR="00207455" w:rsidRPr="00011A42">
        <w:rPr>
          <w:rFonts w:ascii="Times New Roman" w:hAnsi="Times New Roman" w:cs="Times New Roman"/>
          <w:b/>
          <w:bCs/>
          <w:color w:val="000000"/>
        </w:rPr>
        <w:t xml:space="preserve">, </w:t>
      </w:r>
      <w:r w:rsidR="00207455" w:rsidRPr="00011A42">
        <w:rPr>
          <w:rFonts w:ascii="Times New Roman" w:hAnsi="Times New Roman" w:cs="Times New Roman"/>
          <w:b/>
          <w:bCs/>
          <w:i/>
          <w:color w:val="000000"/>
        </w:rPr>
        <w:t xml:space="preserve"> p </w:t>
      </w:r>
      <w:r w:rsidR="00207455" w:rsidRPr="00011A42">
        <w:rPr>
          <w:rFonts w:ascii="Times New Roman" w:hAnsi="Times New Roman" w:cs="Times New Roman"/>
          <w:b/>
          <w:bCs/>
          <w:color w:val="000000"/>
        </w:rPr>
        <w:t>= .0</w:t>
      </w:r>
      <w:r w:rsidR="00207455">
        <w:rPr>
          <w:rFonts w:ascii="Times New Roman" w:hAnsi="Times New Roman" w:cs="Times New Roman"/>
          <w:b/>
          <w:bCs/>
          <w:color w:val="000000"/>
        </w:rPr>
        <w:t>6</w:t>
      </w:r>
      <w:r w:rsidR="00207455" w:rsidRPr="00011A42">
        <w:rPr>
          <w:rFonts w:ascii="Times New Roman" w:hAnsi="Times New Roman" w:cs="Times New Roman"/>
          <w:b/>
          <w:bCs/>
          <w:color w:val="000000"/>
        </w:rPr>
        <w:t xml:space="preserve">, </w:t>
      </w:r>
      <w:r w:rsidR="00207455" w:rsidRPr="00011A42">
        <w:rPr>
          <w:rFonts w:ascii="Times New Roman" w:hAnsi="Times New Roman" w:cs="Times New Roman"/>
          <w:b/>
          <w:bCs/>
          <w:i/>
          <w:color w:val="000000"/>
        </w:rPr>
        <w:t xml:space="preserve">n </w:t>
      </w:r>
      <w:r w:rsidR="00207455" w:rsidRPr="00011A42">
        <w:rPr>
          <w:rFonts w:ascii="Times New Roman" w:hAnsi="Times New Roman" w:cs="Times New Roman"/>
          <w:b/>
          <w:bCs/>
          <w:color w:val="000000"/>
        </w:rPr>
        <w:t>= 49</w:t>
      </w:r>
      <w:r w:rsidR="00207455">
        <w:rPr>
          <w:rFonts w:ascii="Times New Roman" w:hAnsi="Times New Roman" w:cs="Times New Roman"/>
          <w:b/>
          <w:bCs/>
          <w:color w:val="000000"/>
        </w:rPr>
        <w:t xml:space="preserve">; ESQ-R </w:t>
      </w:r>
      <w:r w:rsidR="00207455" w:rsidRPr="00011A42">
        <w:rPr>
          <w:rFonts w:ascii="Times New Roman" w:hAnsi="Times New Roman" w:cs="Times New Roman"/>
          <w:b/>
          <w:bCs/>
          <w:i/>
          <w:color w:val="000000"/>
        </w:rPr>
        <w:t xml:space="preserve">r </w:t>
      </w:r>
      <w:r w:rsidR="00207455" w:rsidRPr="00011A42">
        <w:rPr>
          <w:rFonts w:ascii="Times New Roman" w:hAnsi="Times New Roman" w:cs="Times New Roman"/>
          <w:b/>
          <w:bCs/>
          <w:color w:val="000000"/>
        </w:rPr>
        <w:t>= -.</w:t>
      </w:r>
      <w:r w:rsidR="00207455">
        <w:rPr>
          <w:rFonts w:ascii="Times New Roman" w:hAnsi="Times New Roman" w:cs="Times New Roman"/>
          <w:b/>
          <w:bCs/>
          <w:color w:val="000000"/>
        </w:rPr>
        <w:t>21</w:t>
      </w:r>
      <w:r w:rsidR="00207455" w:rsidRPr="00011A42">
        <w:rPr>
          <w:rFonts w:ascii="Times New Roman" w:hAnsi="Times New Roman" w:cs="Times New Roman"/>
          <w:b/>
          <w:bCs/>
          <w:color w:val="000000"/>
        </w:rPr>
        <w:t xml:space="preserve">, </w:t>
      </w:r>
      <w:r w:rsidR="00207455" w:rsidRPr="00011A42">
        <w:rPr>
          <w:rFonts w:ascii="Times New Roman" w:hAnsi="Times New Roman" w:cs="Times New Roman"/>
          <w:b/>
          <w:bCs/>
          <w:i/>
          <w:color w:val="000000"/>
        </w:rPr>
        <w:t xml:space="preserve"> p </w:t>
      </w:r>
      <w:r w:rsidR="00207455" w:rsidRPr="00011A42">
        <w:rPr>
          <w:rFonts w:ascii="Times New Roman" w:hAnsi="Times New Roman" w:cs="Times New Roman"/>
          <w:b/>
          <w:bCs/>
          <w:color w:val="000000"/>
        </w:rPr>
        <w:t>= .</w:t>
      </w:r>
      <w:r w:rsidR="00207455">
        <w:rPr>
          <w:rFonts w:ascii="Times New Roman" w:hAnsi="Times New Roman" w:cs="Times New Roman"/>
          <w:b/>
          <w:bCs/>
          <w:color w:val="000000"/>
        </w:rPr>
        <w:t>1</w:t>
      </w:r>
      <w:r w:rsidR="00207455" w:rsidRPr="00011A42">
        <w:rPr>
          <w:rFonts w:ascii="Times New Roman" w:hAnsi="Times New Roman" w:cs="Times New Roman"/>
          <w:b/>
          <w:bCs/>
          <w:color w:val="000000"/>
        </w:rPr>
        <w:t xml:space="preserve">4, </w:t>
      </w:r>
      <w:r w:rsidR="00207455" w:rsidRPr="00011A42">
        <w:rPr>
          <w:rFonts w:ascii="Times New Roman" w:hAnsi="Times New Roman" w:cs="Times New Roman"/>
          <w:b/>
          <w:bCs/>
          <w:i/>
          <w:color w:val="000000"/>
        </w:rPr>
        <w:t xml:space="preserve">n </w:t>
      </w:r>
      <w:r w:rsidR="00207455" w:rsidRPr="00011A42">
        <w:rPr>
          <w:rFonts w:ascii="Times New Roman" w:hAnsi="Times New Roman" w:cs="Times New Roman"/>
          <w:b/>
          <w:bCs/>
          <w:color w:val="000000"/>
        </w:rPr>
        <w:t>= 49</w:t>
      </w:r>
      <w:r w:rsidR="00207455">
        <w:rPr>
          <w:rFonts w:ascii="Times New Roman" w:hAnsi="Times New Roman" w:cs="Times New Roman"/>
          <w:b/>
          <w:bCs/>
          <w:color w:val="000000"/>
        </w:rPr>
        <w:t>).</w:t>
      </w:r>
    </w:p>
    <w:p w14:paraId="267E0692" w14:textId="571AB644" w:rsidR="007E2CC6" w:rsidRPr="00011A42" w:rsidRDefault="007E2CC6" w:rsidP="00D70487">
      <w:pPr>
        <w:rPr>
          <w:rFonts w:ascii="Times New Roman" w:hAnsi="Times New Roman" w:cs="Times New Roman"/>
          <w:b/>
          <w:bCs/>
          <w:color w:val="000000"/>
        </w:rPr>
      </w:pPr>
      <w:r>
        <w:rPr>
          <w:rFonts w:ascii="Times New Roman" w:hAnsi="Times New Roman" w:cs="Times New Roman"/>
          <w:b/>
          <w:bCs/>
          <w:color w:val="000000"/>
        </w:rPr>
        <w:t>Again, these differences may be at least partially explained by differences in sample size (and therefore variance) across rating scale vs. direct measures.</w:t>
      </w:r>
    </w:p>
    <w:p w14:paraId="29980103" w14:textId="77777777" w:rsidR="003616DC" w:rsidRPr="00B92591" w:rsidRDefault="003616DC" w:rsidP="003616DC">
      <w:pPr>
        <w:pStyle w:val="ListParagraph"/>
        <w:numPr>
          <w:ilvl w:val="0"/>
          <w:numId w:val="1"/>
        </w:numPr>
        <w:ind w:left="180" w:hanging="180"/>
        <w:rPr>
          <w:rFonts w:ascii="Times New Roman" w:hAnsi="Times New Roman" w:cs="Times New Roman"/>
          <w:bCs/>
          <w:color w:val="000000"/>
        </w:rPr>
      </w:pPr>
      <w:r w:rsidRPr="00B92591">
        <w:rPr>
          <w:rFonts w:ascii="Times New Roman" w:hAnsi="Times New Roman" w:cs="Times New Roman"/>
          <w:bCs/>
          <w:color w:val="000000"/>
        </w:rPr>
        <w:t>Does ACEs exposure relate more strongly to some EF components than others?</w:t>
      </w:r>
    </w:p>
    <w:p w14:paraId="476B93E6" w14:textId="089C96E3" w:rsidR="003616DC" w:rsidRDefault="003616DC" w:rsidP="003616DC">
      <w:pPr>
        <w:pStyle w:val="ListParagraph"/>
        <w:numPr>
          <w:ilvl w:val="1"/>
          <w:numId w:val="1"/>
        </w:numPr>
        <w:rPr>
          <w:rFonts w:ascii="Times New Roman" w:hAnsi="Times New Roman" w:cs="Times New Roman"/>
          <w:bCs/>
          <w:color w:val="000000"/>
        </w:rPr>
      </w:pPr>
      <w:r w:rsidRPr="00B92591">
        <w:rPr>
          <w:rFonts w:ascii="Times New Roman" w:hAnsi="Times New Roman" w:cs="Times New Roman"/>
          <w:bCs/>
          <w:color w:val="000000"/>
        </w:rPr>
        <w:t xml:space="preserve">Hypothesis: ACEs exposure and EF will be more strongly related to scores on hot EF components </w:t>
      </w:r>
      <w:r w:rsidRPr="00B92591">
        <w:rPr>
          <w:rFonts w:ascii="Times New Roman" w:hAnsi="Times New Roman" w:cs="Times New Roman"/>
          <w:bCs/>
          <w:color w:val="000000"/>
        </w:rPr>
        <w:fldChar w:fldCharType="begin" w:fldLock="1"/>
      </w:r>
      <w:r w:rsidRPr="00B92591">
        <w:rPr>
          <w:rFonts w:ascii="Times New Roman" w:hAnsi="Times New Roman" w:cs="Times New Roman"/>
          <w:bCs/>
          <w:color w:val="000000"/>
        </w:rPr>
        <w:instrText>ADDIN CSL_CITATION {"citationItems":[{"id":"ITEM-1","itemData":{"DOI":"10.3389/fpsyg.2017.01091","ISSN":"16641078","PMID":"28725204","abstract":"College students who report a history of childhood maltreatment may be at risk for poor outcomes. In the current study, we conducted an exploratory analysis to examine potential models that statistically mediate associations between aspects of maltreatment and aspects of academic outcome, with a particular focus on executive functions (EF). Consistent with contemporary EF research, we distinguished between relatively \"cool\" EF tasks (i.e., performed in a context relatively free of emotional or motivational valence) and \"hot\" EF tasks that emphasize performance under more emotionally arousing conditions. Sixty-one male and female college undergraduates self-reported childhood maltreatment history (emotional abuse and neglect, physical abuse and neglect, and sexual abuse) on the Childhood Trauma Questionnaire (CTQ), and were given two EF measures: (1) Go-No-Go (GNG) test that included a Color Condition (cool); Neutral Face Condition (warm); and Emotion Face condition (hot), and (2) Iowa Gambling Task (IGT), a measure of risky decision making that reflects hot EF. Academic outcomes were: (1) grade point average (GPA: first-semester, cumulative, and semester concurrent with testing), and (2) Student Adaptation to College Questionnaire (SACQ). Correlational patterns suggested two EF scores as potential mediators: GNG reaction time (RT) in the Neutral Face condition, and IGT Block 2 adaptive responding. Indirect effects analyses indicated that IGT Block 2 adaptive responding has an indirect effect on the relationship between CTQ Total score and 1st semester GPA, and between CTQ Emotional Abuse and concurrent GPA. Regarding college adaptation, we identified a consistent indirect effect of GNG Neutral Face RT on the relationship between CTQ Emotional Neglect and SACQ total, academic, social, and personal-emotional adaption scores. Our results demonstrate that higher scores on a child maltreatment history self-report negatively predict college academic outcomes as assessed by GPA and by self-reported adaptation. Further, relatively \"hot\" EF task performance on the IGT and GNG tasks serves as a link between child maltreatment experiences and college achievement and adaptation, suggesting that hot EF skills may be a fruitful direction for future intervention efforts to improve academic outcomes for this population.","author":[{"dropping-particle":"","family":"Welsh","given":"Marilyn C.","non-dropping-particle":"","parse-names":false,"suffix":""},{"dropping-particle":"","family":"Peterson","given":"Eric","non-dropping-particle":"","parse-names":false,"suffix":""},{"dropping-particle":"","family":"Jameson","given":"Molly M.","non-dropping-particle":"","parse-names":false,"suffix":""}],"container-title":"Frontiers in Psychology","id":"ITEM-1","issue":"JUL","issued":{"date-parts":[["2017"]]},"page":"1-13","title":"History of childhood maltreatment and college academic outcomes: Indirect effects of hot execution function","type":"article-journal","volume":"8"},"uris":["http://www.mendeley.com/documents/?uuid=c6d8cfe8-643a-4afb-bd35-26bd19d50972"]}],"mendeley":{"formattedCitation":"(Welsh et al., 2017)","plainTextFormattedCitation":"(Welsh et al., 2017)","previouslyFormattedCitation":"(Welsh et al., 2017)"},"properties":{"noteIndex":0},"schema":"https://github.com/citation-style-language/schema/raw/master/csl-citation.json"}</w:instrText>
      </w:r>
      <w:r w:rsidRPr="00B92591">
        <w:rPr>
          <w:rFonts w:ascii="Times New Roman" w:hAnsi="Times New Roman" w:cs="Times New Roman"/>
          <w:bCs/>
          <w:color w:val="000000"/>
        </w:rPr>
        <w:fldChar w:fldCharType="separate"/>
      </w:r>
      <w:r w:rsidRPr="00B92591">
        <w:rPr>
          <w:rFonts w:ascii="Times New Roman" w:hAnsi="Times New Roman" w:cs="Times New Roman"/>
          <w:bCs/>
          <w:noProof/>
          <w:color w:val="000000"/>
        </w:rPr>
        <w:t>(Welsh et al., 2017)</w:t>
      </w:r>
      <w:r w:rsidRPr="00B92591">
        <w:rPr>
          <w:rFonts w:ascii="Times New Roman" w:hAnsi="Times New Roman" w:cs="Times New Roman"/>
          <w:bCs/>
          <w:color w:val="000000"/>
        </w:rPr>
        <w:fldChar w:fldCharType="end"/>
      </w:r>
      <w:r w:rsidRPr="00B92591">
        <w:rPr>
          <w:rFonts w:ascii="Times New Roman" w:hAnsi="Times New Roman" w:cs="Times New Roman"/>
          <w:bCs/>
          <w:color w:val="000000"/>
        </w:rPr>
        <w:t xml:space="preserve"> than cold components, on both direct performance tasks and rating scales. ACEs relationships with different cold components will be similar.</w:t>
      </w:r>
    </w:p>
    <w:p w14:paraId="7A553BB5" w14:textId="76872CA6" w:rsidR="004555A8" w:rsidRPr="004555A8" w:rsidRDefault="004555A8" w:rsidP="004555A8">
      <w:pPr>
        <w:rPr>
          <w:rFonts w:ascii="Times New Roman" w:hAnsi="Times New Roman" w:cs="Times New Roman"/>
          <w:b/>
          <w:bCs/>
          <w:color w:val="000000"/>
        </w:rPr>
      </w:pPr>
      <w:r>
        <w:rPr>
          <w:rFonts w:ascii="Times New Roman" w:hAnsi="Times New Roman" w:cs="Times New Roman"/>
          <w:b/>
          <w:bCs/>
          <w:color w:val="000000"/>
        </w:rPr>
        <w:t xml:space="preserve">Because of a high frequency of technical difficulties with the “hot” EF measures on the </w:t>
      </w:r>
      <w:proofErr w:type="spellStart"/>
      <w:r>
        <w:rPr>
          <w:rFonts w:ascii="Times New Roman" w:hAnsi="Times New Roman" w:cs="Times New Roman"/>
          <w:b/>
          <w:bCs/>
          <w:color w:val="000000"/>
        </w:rPr>
        <w:t>Inquisit</w:t>
      </w:r>
      <w:proofErr w:type="spellEnd"/>
      <w:r>
        <w:rPr>
          <w:rFonts w:ascii="Times New Roman" w:hAnsi="Times New Roman" w:cs="Times New Roman"/>
          <w:b/>
          <w:bCs/>
          <w:color w:val="000000"/>
        </w:rPr>
        <w:t xml:space="preserve"> platform, we were unable to examine this hypothesis. We hope to continue collecting data using the </w:t>
      </w:r>
      <w:proofErr w:type="spellStart"/>
      <w:r>
        <w:rPr>
          <w:rFonts w:ascii="Times New Roman" w:hAnsi="Times New Roman" w:cs="Times New Roman"/>
          <w:b/>
          <w:bCs/>
          <w:color w:val="000000"/>
        </w:rPr>
        <w:t>Inquisit</w:t>
      </w:r>
      <w:proofErr w:type="spellEnd"/>
      <w:r>
        <w:rPr>
          <w:rFonts w:ascii="Times New Roman" w:hAnsi="Times New Roman" w:cs="Times New Roman"/>
          <w:b/>
          <w:bCs/>
          <w:color w:val="000000"/>
        </w:rPr>
        <w:t xml:space="preserve"> measures to clarify this question. The perpetual subscription to </w:t>
      </w:r>
      <w:proofErr w:type="spellStart"/>
      <w:r>
        <w:rPr>
          <w:rFonts w:ascii="Times New Roman" w:hAnsi="Times New Roman" w:cs="Times New Roman"/>
          <w:b/>
          <w:bCs/>
          <w:color w:val="000000"/>
        </w:rPr>
        <w:t>Inquisit</w:t>
      </w:r>
      <w:proofErr w:type="spellEnd"/>
      <w:r>
        <w:rPr>
          <w:rFonts w:ascii="Times New Roman" w:hAnsi="Times New Roman" w:cs="Times New Roman"/>
          <w:b/>
          <w:bCs/>
          <w:color w:val="000000"/>
        </w:rPr>
        <w:t xml:space="preserve"> through this grant will allow us to continue to work through the technical problems presented by this new technology.</w:t>
      </w:r>
    </w:p>
    <w:p w14:paraId="0515C729" w14:textId="77777777" w:rsidR="003616DC" w:rsidRPr="00B92591" w:rsidRDefault="003616DC" w:rsidP="003616DC">
      <w:pPr>
        <w:pStyle w:val="ListParagraph"/>
        <w:numPr>
          <w:ilvl w:val="0"/>
          <w:numId w:val="1"/>
        </w:numPr>
        <w:ind w:left="180" w:hanging="180"/>
        <w:rPr>
          <w:rFonts w:ascii="Times New Roman" w:hAnsi="Times New Roman" w:cs="Times New Roman"/>
          <w:bCs/>
          <w:color w:val="000000"/>
        </w:rPr>
      </w:pPr>
      <w:r w:rsidRPr="00B92591">
        <w:rPr>
          <w:rFonts w:ascii="Times New Roman" w:hAnsi="Times New Roman" w:cs="Times New Roman"/>
          <w:bCs/>
          <w:color w:val="000000"/>
        </w:rPr>
        <w:t>What is the pattern of relationships between ACEs exposure and EF on the WJ IV COG?</w:t>
      </w:r>
    </w:p>
    <w:p w14:paraId="2F8612E3" w14:textId="77777777" w:rsidR="003616DC" w:rsidRPr="00B92591" w:rsidRDefault="003616DC" w:rsidP="003616DC">
      <w:pPr>
        <w:pStyle w:val="ListParagraph"/>
        <w:numPr>
          <w:ilvl w:val="1"/>
          <w:numId w:val="1"/>
        </w:numPr>
        <w:rPr>
          <w:rFonts w:ascii="Times New Roman" w:hAnsi="Times New Roman" w:cs="Times New Roman"/>
          <w:bCs/>
          <w:color w:val="000000"/>
        </w:rPr>
      </w:pPr>
      <w:r w:rsidRPr="00B92591">
        <w:rPr>
          <w:rFonts w:ascii="Times New Roman" w:hAnsi="Times New Roman" w:cs="Times New Roman"/>
          <w:bCs/>
          <w:color w:val="000000"/>
        </w:rPr>
        <w:t xml:space="preserve">Hypothesis: Based on </w:t>
      </w:r>
      <w:r w:rsidRPr="00B92591">
        <w:rPr>
          <w:rFonts w:ascii="Times New Roman" w:hAnsi="Times New Roman" w:cs="Times New Roman"/>
          <w:bCs/>
          <w:color w:val="000000"/>
        </w:rPr>
        <w:fldChar w:fldCharType="begin" w:fldLock="1"/>
      </w:r>
      <w:r w:rsidRPr="00B92591">
        <w:rPr>
          <w:rFonts w:ascii="Times New Roman" w:hAnsi="Times New Roman" w:cs="Times New Roman"/>
          <w:bCs/>
          <w:color w:val="000000"/>
        </w:rPr>
        <w:instrText>ADDIN CSL_CITATION {"citationItems":[{"id":"ITEM-1","itemData":{"abstract":"Executive functions are higher-order neurocognitive abilities involved in goal-directed actions and are important for planning, judgment, reasoning, and problem solving. Executive functions have been one of the most studied constructs in neuropsychology over the past 20 years, and executive dysfunction has been implicated in a number of neurological and psychiatric disorders. The degree to which executive functioning (EF) influences the ability to complete tasks varies on different measures of intelligence and cognition. The purpose of this Assessment Service Bulletin is to provide general guidance for understanding the relationship between executive functions and cognitive constructs measured in the Woodcock-Johnson IV Tests of Cognitive Abilities (Schrank, McGrew, &amp; Mather, 2014b).","author":[{"dropping-particle":"","family":"Decker","given":"Scott L","non-dropping-particle":"","parse-names":false,"suffix":""},{"dropping-particle":"","family":"Davis","given":"Andrew S","non-dropping-particle":"","parse-names":false,"suffix":""},{"dropping-particle":"","family":"Eason","given":"Michael","non-dropping-particle":"","parse-names":false,"suffix":""},{"dropping-particle":"","family":"Bridges","given":"Rachel","non-dropping-particle":"","parse-names":false,"suffix":""},{"dropping-particle":"","family":"Ba","given":"Laura M","non-dropping-particle":"","parse-names":false,"suffix":""},{"dropping-particle":"","family":"Vasel","given":"M A","non-dropping-particle":"","parse-names":false,"suffix":""}],"id":"ITEM-1","issued":{"date-parts":[["2017"]]},"publisher-place":"Itasca, Illinois","title":"Assessment Service Bulletin Number 9: Assessment of Executive Functions Using the Woodcock-Johnson ® IV Tests of Cognitive Abilities","type":"report"},"uris":["http://www.mendeley.com/documents/?uuid=e5737a41-1b6d-35a9-9745-e101db7af6c6"]}],"mendeley":{"formattedCitation":"(Decker et al., 2017)","manualFormatting":"Decker et al. (2017)","plainTextFormattedCitation":"(Decker et al., 2017)","previouslyFormattedCitation":"(Decker et al., 2017)"},"properties":{"noteIndex":0},"schema":"https://github.com/citation-style-language/schema/raw/master/csl-citation.json"}</w:instrText>
      </w:r>
      <w:r w:rsidRPr="00B92591">
        <w:rPr>
          <w:rFonts w:ascii="Times New Roman" w:hAnsi="Times New Roman" w:cs="Times New Roman"/>
          <w:bCs/>
          <w:color w:val="000000"/>
        </w:rPr>
        <w:fldChar w:fldCharType="separate"/>
      </w:r>
      <w:r w:rsidRPr="00B92591">
        <w:rPr>
          <w:rFonts w:ascii="Times New Roman" w:hAnsi="Times New Roman" w:cs="Times New Roman"/>
          <w:bCs/>
          <w:noProof/>
          <w:color w:val="000000"/>
        </w:rPr>
        <w:t>Decker et al. (2017)</w:t>
      </w:r>
      <w:r w:rsidRPr="00B92591">
        <w:rPr>
          <w:rFonts w:ascii="Times New Roman" w:hAnsi="Times New Roman" w:cs="Times New Roman"/>
          <w:bCs/>
          <w:color w:val="000000"/>
        </w:rPr>
        <w:fldChar w:fldCharType="end"/>
      </w:r>
      <w:r w:rsidRPr="00B92591">
        <w:rPr>
          <w:rFonts w:ascii="Times New Roman" w:hAnsi="Times New Roman" w:cs="Times New Roman"/>
          <w:bCs/>
          <w:color w:val="000000"/>
        </w:rPr>
        <w:t>, ACEs will be more strongly related to scores on WJ IV tasks thought to be most impacted by EF (Tests 2 Number Series, 3 Verbal Attention, 7 Visualization, and 10 Numbers Reversed) than on those with some involvement (Tests 4 Letter-Pattern Matching, 5 Phonological Processing—Word Fluency measure only, 6 Story Recall, and 9 Concept Formation).</w:t>
      </w:r>
    </w:p>
    <w:p w14:paraId="5DE8C7F7" w14:textId="421858C7" w:rsidR="005217C1" w:rsidRDefault="00C630F3" w:rsidP="00B35438">
      <w:pPr>
        <w:rPr>
          <w:rFonts w:ascii="Times New Roman" w:hAnsi="Times New Roman" w:cs="Times New Roman"/>
          <w:b/>
          <w:bCs/>
          <w:color w:val="000000"/>
        </w:rPr>
      </w:pPr>
      <w:r w:rsidRPr="00B35438">
        <w:rPr>
          <w:rFonts w:ascii="Times New Roman" w:hAnsi="Times New Roman" w:cs="Times New Roman"/>
          <w:b/>
          <w:bCs/>
          <w:color w:val="000000"/>
        </w:rPr>
        <w:t>Based on the current results, this hypothesis was not supported</w:t>
      </w:r>
      <w:r w:rsidR="00FC1AF2" w:rsidRPr="00B35438">
        <w:rPr>
          <w:rFonts w:ascii="Times New Roman" w:hAnsi="Times New Roman" w:cs="Times New Roman"/>
          <w:b/>
          <w:bCs/>
          <w:color w:val="000000"/>
        </w:rPr>
        <w:t xml:space="preserve"> in our sample</w:t>
      </w:r>
      <w:r w:rsidRPr="00B35438">
        <w:rPr>
          <w:rFonts w:ascii="Times New Roman" w:hAnsi="Times New Roman" w:cs="Times New Roman"/>
          <w:b/>
          <w:bCs/>
          <w:color w:val="000000"/>
        </w:rPr>
        <w:t xml:space="preserve">. In fact, ACEs exposure was associated more strongly with some non-“EF” WJ IV COG subtests than with those Decker et al. (2017) previously hypothesized </w:t>
      </w:r>
      <w:r w:rsidR="00FC1AF2" w:rsidRPr="00B35438">
        <w:rPr>
          <w:rFonts w:ascii="Times New Roman" w:hAnsi="Times New Roman" w:cs="Times New Roman"/>
          <w:b/>
          <w:bCs/>
          <w:color w:val="000000"/>
        </w:rPr>
        <w:t xml:space="preserve">as likely measuring EF. </w:t>
      </w:r>
      <w:r w:rsidR="00B35438">
        <w:rPr>
          <w:rFonts w:ascii="Times New Roman" w:hAnsi="Times New Roman" w:cs="Times New Roman"/>
          <w:b/>
          <w:bCs/>
          <w:color w:val="000000"/>
        </w:rPr>
        <w:t xml:space="preserve">The table below shows the correlation patterns of ACEs number of types of exposure (Multiplicity) and severity with WJ IV COG subtests. </w:t>
      </w:r>
      <w:r w:rsidR="006E1244">
        <w:rPr>
          <w:rFonts w:ascii="Times New Roman" w:hAnsi="Times New Roman" w:cs="Times New Roman"/>
          <w:b/>
          <w:bCs/>
          <w:color w:val="000000"/>
        </w:rPr>
        <w:t>Green cells repres</w:t>
      </w:r>
      <w:r w:rsidR="0075350F">
        <w:rPr>
          <w:rFonts w:ascii="Times New Roman" w:hAnsi="Times New Roman" w:cs="Times New Roman"/>
          <w:b/>
          <w:bCs/>
          <w:color w:val="000000"/>
        </w:rPr>
        <w:t>e</w:t>
      </w:r>
      <w:r w:rsidR="006E1244">
        <w:rPr>
          <w:rFonts w:ascii="Times New Roman" w:hAnsi="Times New Roman" w:cs="Times New Roman"/>
          <w:b/>
          <w:bCs/>
          <w:color w:val="000000"/>
        </w:rPr>
        <w:t>nt</w:t>
      </w:r>
      <w:r w:rsidR="00B35438">
        <w:rPr>
          <w:rFonts w:ascii="Times New Roman" w:hAnsi="Times New Roman" w:cs="Times New Roman"/>
          <w:b/>
          <w:bCs/>
          <w:color w:val="000000"/>
        </w:rPr>
        <w:t xml:space="preserve"> those subtests previously hypothesized to best measure EF</w:t>
      </w:r>
      <w:r w:rsidR="006E1244">
        <w:rPr>
          <w:rFonts w:ascii="Times New Roman" w:hAnsi="Times New Roman" w:cs="Times New Roman"/>
          <w:b/>
          <w:bCs/>
          <w:color w:val="000000"/>
        </w:rPr>
        <w:t>, followed by yellow columns showing those that were hypothesized to involve some EF</w:t>
      </w:r>
      <w:r w:rsidR="008A5CA5">
        <w:rPr>
          <w:rFonts w:ascii="Times New Roman" w:hAnsi="Times New Roman" w:cs="Times New Roman"/>
          <w:b/>
          <w:bCs/>
          <w:color w:val="000000"/>
        </w:rPr>
        <w:t>, and blank columns that were administered as “non-EF” measures of verbal IQ</w:t>
      </w:r>
      <w:r w:rsidR="00B35438">
        <w:rPr>
          <w:rFonts w:ascii="Times New Roman" w:hAnsi="Times New Roman" w:cs="Times New Roman"/>
          <w:b/>
          <w:bCs/>
          <w:color w:val="000000"/>
        </w:rPr>
        <w:t>.</w:t>
      </w:r>
      <w:r w:rsidR="00500004">
        <w:rPr>
          <w:rFonts w:ascii="Times New Roman" w:hAnsi="Times New Roman" w:cs="Times New Roman"/>
          <w:b/>
          <w:bCs/>
          <w:color w:val="000000"/>
        </w:rPr>
        <w:t xml:space="preserve"> The strongest correlation between WJ IV COG subtest scores and ACEs measures was on the Concept Formation test (Gf; also the only statistically significant correlation in this sample and analysis), followed by</w:t>
      </w:r>
      <w:r w:rsidR="00C1427B">
        <w:rPr>
          <w:rFonts w:ascii="Times New Roman" w:hAnsi="Times New Roman" w:cs="Times New Roman"/>
          <w:b/>
          <w:bCs/>
          <w:color w:val="000000"/>
        </w:rPr>
        <w:t xml:space="preserve"> Number Series and Visualization.</w:t>
      </w:r>
      <w:r w:rsidR="00005323">
        <w:rPr>
          <w:rFonts w:ascii="Times New Roman" w:hAnsi="Times New Roman" w:cs="Times New Roman"/>
          <w:b/>
          <w:bCs/>
          <w:color w:val="000000"/>
        </w:rPr>
        <w:t xml:space="preserve"> Curiously, these correlations were all in the opposite direction from that expected, though. According to these results, participants with exposure to more types of/more severe ACEs had </w:t>
      </w:r>
      <w:r w:rsidR="00005323">
        <w:rPr>
          <w:rFonts w:ascii="Times New Roman" w:hAnsi="Times New Roman" w:cs="Times New Roman"/>
          <w:b/>
          <w:bCs/>
          <w:i/>
          <w:color w:val="000000"/>
        </w:rPr>
        <w:t xml:space="preserve">higher </w:t>
      </w:r>
      <w:r w:rsidR="00005323">
        <w:rPr>
          <w:rFonts w:ascii="Times New Roman" w:hAnsi="Times New Roman" w:cs="Times New Roman"/>
          <w:b/>
          <w:bCs/>
          <w:color w:val="000000"/>
        </w:rPr>
        <w:t>cognitive functioning on these subtests (positive correlation).</w:t>
      </w:r>
      <w:r w:rsidR="00BD5242">
        <w:rPr>
          <w:rFonts w:ascii="Times New Roman" w:hAnsi="Times New Roman" w:cs="Times New Roman"/>
          <w:b/>
          <w:bCs/>
          <w:color w:val="000000"/>
        </w:rPr>
        <w:t xml:space="preserve"> Tests like Verbal Attention showed the expected pattern of negative correlation with ACEs scores, but with weaker magnitude.</w:t>
      </w:r>
    </w:p>
    <w:p w14:paraId="3B129BBE" w14:textId="3D72CA9F" w:rsidR="009664BA" w:rsidRPr="009664BA" w:rsidRDefault="009664BA" w:rsidP="009664BA">
      <w:pPr>
        <w:spacing w:after="0"/>
        <w:rPr>
          <w:rFonts w:ascii="Times New Roman" w:hAnsi="Times New Roman" w:cs="Times New Roman"/>
          <w:b/>
          <w:i/>
          <w:sz w:val="20"/>
          <w:szCs w:val="20"/>
        </w:rPr>
      </w:pPr>
      <w:r w:rsidRPr="009664BA">
        <w:rPr>
          <w:rFonts w:ascii="Times New Roman" w:hAnsi="Times New Roman" w:cs="Times New Roman"/>
          <w:b/>
          <w:i/>
          <w:sz w:val="20"/>
          <w:szCs w:val="20"/>
        </w:rPr>
        <w:lastRenderedPageBreak/>
        <w:t>Correlations among Trauma Exposure (MAES) and WJ IV COG Subtest Scores</w:t>
      </w:r>
    </w:p>
    <w:tbl>
      <w:tblPr>
        <w:tblStyle w:val="TableGrid"/>
        <w:tblW w:w="9421" w:type="dxa"/>
        <w:tblLook w:val="04A0" w:firstRow="1" w:lastRow="0" w:firstColumn="1" w:lastColumn="0" w:noHBand="0" w:noVBand="1"/>
      </w:tblPr>
      <w:tblGrid>
        <w:gridCol w:w="1070"/>
        <w:gridCol w:w="319"/>
        <w:gridCol w:w="537"/>
        <w:gridCol w:w="805"/>
        <w:gridCol w:w="634"/>
        <w:gridCol w:w="680"/>
        <w:gridCol w:w="693"/>
        <w:gridCol w:w="893"/>
        <w:gridCol w:w="677"/>
        <w:gridCol w:w="842"/>
        <w:gridCol w:w="805"/>
        <w:gridCol w:w="746"/>
        <w:gridCol w:w="720"/>
      </w:tblGrid>
      <w:tr w:rsidR="00F5057F" w:rsidRPr="00A50326" w14:paraId="67726B01" w14:textId="77777777" w:rsidTr="00F5057F">
        <w:trPr>
          <w:trHeight w:val="617"/>
        </w:trPr>
        <w:tc>
          <w:tcPr>
            <w:tcW w:w="1389" w:type="dxa"/>
            <w:gridSpan w:val="2"/>
            <w:shd w:val="clear" w:color="auto" w:fill="D9D9D9" w:themeFill="background1" w:themeFillShade="D9"/>
            <w:hideMark/>
          </w:tcPr>
          <w:p w14:paraId="75A6F918" w14:textId="6A9977D0" w:rsidR="005217C1" w:rsidRPr="00A50326" w:rsidRDefault="005217C1" w:rsidP="009664BA">
            <w:pPr>
              <w:rPr>
                <w:rFonts w:ascii="Arial" w:hAnsi="Arial" w:cs="Arial"/>
                <w:b/>
                <w:sz w:val="16"/>
                <w:szCs w:val="16"/>
              </w:rPr>
            </w:pPr>
            <w:r w:rsidRPr="005217C1">
              <w:rPr>
                <w:rFonts w:ascii="Arial" w:hAnsi="Arial" w:cs="Arial"/>
                <w:b/>
                <w:sz w:val="16"/>
                <w:szCs w:val="16"/>
              </w:rPr>
              <w:t> </w:t>
            </w:r>
            <w:r w:rsidRPr="00A50326">
              <w:rPr>
                <w:rFonts w:ascii="Arial" w:hAnsi="Arial" w:cs="Arial"/>
                <w:b/>
                <w:i/>
                <w:sz w:val="16"/>
                <w:szCs w:val="16"/>
              </w:rPr>
              <w:t xml:space="preserve">N </w:t>
            </w:r>
            <w:r w:rsidRPr="00A50326">
              <w:rPr>
                <w:rFonts w:ascii="Arial" w:hAnsi="Arial" w:cs="Arial"/>
                <w:b/>
                <w:sz w:val="16"/>
                <w:szCs w:val="16"/>
              </w:rPr>
              <w:t>= 43</w:t>
            </w:r>
          </w:p>
        </w:tc>
        <w:tc>
          <w:tcPr>
            <w:tcW w:w="537" w:type="dxa"/>
            <w:shd w:val="clear" w:color="auto" w:fill="F2F2F2" w:themeFill="background1" w:themeFillShade="F2"/>
            <w:hideMark/>
          </w:tcPr>
          <w:p w14:paraId="21AF1198" w14:textId="71B90AF4" w:rsidR="005217C1" w:rsidRPr="00F5057F" w:rsidRDefault="005217C1" w:rsidP="009664BA">
            <w:pPr>
              <w:rPr>
                <w:rFonts w:ascii="Arial" w:hAnsi="Arial" w:cs="Arial"/>
                <w:b/>
                <w:sz w:val="10"/>
                <w:szCs w:val="16"/>
              </w:rPr>
            </w:pPr>
            <w:r w:rsidRPr="00F5057F">
              <w:rPr>
                <w:rFonts w:ascii="Arial" w:hAnsi="Arial" w:cs="Arial"/>
                <w:b/>
                <w:sz w:val="10"/>
                <w:szCs w:val="16"/>
              </w:rPr>
              <w:t>GIA</w:t>
            </w:r>
          </w:p>
        </w:tc>
        <w:tc>
          <w:tcPr>
            <w:tcW w:w="805" w:type="dxa"/>
            <w:shd w:val="clear" w:color="auto" w:fill="FFFFFF" w:themeFill="background1"/>
            <w:hideMark/>
          </w:tcPr>
          <w:p w14:paraId="5442C211" w14:textId="77777777" w:rsidR="005217C1" w:rsidRPr="00F5057F" w:rsidRDefault="005217C1" w:rsidP="009664BA">
            <w:pPr>
              <w:rPr>
                <w:rFonts w:ascii="Arial" w:hAnsi="Arial" w:cs="Arial"/>
                <w:b/>
                <w:sz w:val="10"/>
                <w:szCs w:val="16"/>
              </w:rPr>
            </w:pPr>
            <w:r w:rsidRPr="00F5057F">
              <w:rPr>
                <w:rFonts w:ascii="Arial" w:hAnsi="Arial" w:cs="Arial"/>
                <w:b/>
                <w:sz w:val="10"/>
                <w:szCs w:val="16"/>
              </w:rPr>
              <w:t>Oral Vocabulary</w:t>
            </w:r>
          </w:p>
        </w:tc>
        <w:tc>
          <w:tcPr>
            <w:tcW w:w="634" w:type="dxa"/>
            <w:shd w:val="clear" w:color="auto" w:fill="00B050"/>
            <w:hideMark/>
          </w:tcPr>
          <w:p w14:paraId="201BFBD1" w14:textId="77777777" w:rsidR="005217C1" w:rsidRPr="00F5057F" w:rsidRDefault="005217C1" w:rsidP="009664BA">
            <w:pPr>
              <w:rPr>
                <w:rFonts w:ascii="Arial" w:hAnsi="Arial" w:cs="Arial"/>
                <w:b/>
                <w:bCs/>
                <w:sz w:val="10"/>
                <w:szCs w:val="16"/>
              </w:rPr>
            </w:pPr>
            <w:r w:rsidRPr="00F5057F">
              <w:rPr>
                <w:rFonts w:ascii="Arial" w:hAnsi="Arial" w:cs="Arial"/>
                <w:b/>
                <w:bCs/>
                <w:sz w:val="10"/>
                <w:szCs w:val="16"/>
              </w:rPr>
              <w:t>Number Series</w:t>
            </w:r>
          </w:p>
        </w:tc>
        <w:tc>
          <w:tcPr>
            <w:tcW w:w="680" w:type="dxa"/>
            <w:shd w:val="clear" w:color="auto" w:fill="00B050"/>
            <w:hideMark/>
          </w:tcPr>
          <w:p w14:paraId="6C983B25" w14:textId="77777777" w:rsidR="005217C1" w:rsidRPr="00F5057F" w:rsidRDefault="005217C1" w:rsidP="009664BA">
            <w:pPr>
              <w:rPr>
                <w:rFonts w:ascii="Arial" w:hAnsi="Arial" w:cs="Arial"/>
                <w:b/>
                <w:bCs/>
                <w:sz w:val="10"/>
                <w:szCs w:val="16"/>
              </w:rPr>
            </w:pPr>
            <w:r w:rsidRPr="00F5057F">
              <w:rPr>
                <w:rFonts w:ascii="Arial" w:hAnsi="Arial" w:cs="Arial"/>
                <w:b/>
                <w:bCs/>
                <w:sz w:val="10"/>
                <w:szCs w:val="16"/>
              </w:rPr>
              <w:t>Verbal Attention</w:t>
            </w:r>
          </w:p>
        </w:tc>
        <w:tc>
          <w:tcPr>
            <w:tcW w:w="693" w:type="dxa"/>
            <w:shd w:val="clear" w:color="auto" w:fill="FFFF00"/>
            <w:hideMark/>
          </w:tcPr>
          <w:p w14:paraId="2721D974" w14:textId="77777777" w:rsidR="005217C1" w:rsidRPr="00F5057F" w:rsidRDefault="005217C1" w:rsidP="009664BA">
            <w:pPr>
              <w:rPr>
                <w:rFonts w:ascii="Arial" w:hAnsi="Arial" w:cs="Arial"/>
                <w:b/>
                <w:sz w:val="10"/>
                <w:szCs w:val="16"/>
              </w:rPr>
            </w:pPr>
            <w:r w:rsidRPr="00F5057F">
              <w:rPr>
                <w:rFonts w:ascii="Arial" w:hAnsi="Arial" w:cs="Arial"/>
                <w:b/>
                <w:sz w:val="10"/>
                <w:szCs w:val="16"/>
              </w:rPr>
              <w:t>Letter-Pattern Matching</w:t>
            </w:r>
          </w:p>
        </w:tc>
        <w:tc>
          <w:tcPr>
            <w:tcW w:w="893" w:type="dxa"/>
            <w:shd w:val="clear" w:color="auto" w:fill="FFFF00"/>
            <w:hideMark/>
          </w:tcPr>
          <w:p w14:paraId="589FF6E7" w14:textId="77777777" w:rsidR="005217C1" w:rsidRPr="00F5057F" w:rsidRDefault="005217C1" w:rsidP="009664BA">
            <w:pPr>
              <w:rPr>
                <w:rFonts w:ascii="Arial" w:hAnsi="Arial" w:cs="Arial"/>
                <w:b/>
                <w:sz w:val="10"/>
                <w:szCs w:val="16"/>
              </w:rPr>
            </w:pPr>
            <w:r w:rsidRPr="00F5057F">
              <w:rPr>
                <w:rFonts w:ascii="Arial" w:hAnsi="Arial" w:cs="Arial"/>
                <w:b/>
                <w:sz w:val="10"/>
                <w:szCs w:val="16"/>
              </w:rPr>
              <w:t>Phonological Processing</w:t>
            </w:r>
          </w:p>
        </w:tc>
        <w:tc>
          <w:tcPr>
            <w:tcW w:w="677" w:type="dxa"/>
            <w:shd w:val="clear" w:color="auto" w:fill="FFFF00"/>
            <w:hideMark/>
          </w:tcPr>
          <w:p w14:paraId="0BCFEBDD" w14:textId="77777777" w:rsidR="005217C1" w:rsidRPr="00F5057F" w:rsidRDefault="005217C1" w:rsidP="009664BA">
            <w:pPr>
              <w:rPr>
                <w:rFonts w:ascii="Arial" w:hAnsi="Arial" w:cs="Arial"/>
                <w:b/>
                <w:sz w:val="10"/>
                <w:szCs w:val="16"/>
              </w:rPr>
            </w:pPr>
            <w:r w:rsidRPr="00F5057F">
              <w:rPr>
                <w:rFonts w:ascii="Arial" w:hAnsi="Arial" w:cs="Arial"/>
                <w:b/>
                <w:sz w:val="10"/>
                <w:szCs w:val="16"/>
              </w:rPr>
              <w:t>Story Recall</w:t>
            </w:r>
          </w:p>
        </w:tc>
        <w:tc>
          <w:tcPr>
            <w:tcW w:w="842" w:type="dxa"/>
            <w:shd w:val="clear" w:color="auto" w:fill="00B050"/>
            <w:hideMark/>
          </w:tcPr>
          <w:p w14:paraId="42983EFF" w14:textId="77777777" w:rsidR="005217C1" w:rsidRPr="00F5057F" w:rsidRDefault="005217C1" w:rsidP="009664BA">
            <w:pPr>
              <w:rPr>
                <w:rFonts w:ascii="Arial" w:hAnsi="Arial" w:cs="Arial"/>
                <w:b/>
                <w:bCs/>
                <w:sz w:val="10"/>
                <w:szCs w:val="16"/>
              </w:rPr>
            </w:pPr>
            <w:r w:rsidRPr="00F5057F">
              <w:rPr>
                <w:rFonts w:ascii="Arial" w:hAnsi="Arial" w:cs="Arial"/>
                <w:b/>
                <w:bCs/>
                <w:sz w:val="10"/>
                <w:szCs w:val="16"/>
              </w:rPr>
              <w:t>Visualization</w:t>
            </w:r>
          </w:p>
        </w:tc>
        <w:tc>
          <w:tcPr>
            <w:tcW w:w="805" w:type="dxa"/>
            <w:shd w:val="clear" w:color="auto" w:fill="FFFFFF" w:themeFill="background1"/>
            <w:hideMark/>
          </w:tcPr>
          <w:p w14:paraId="65B5A1F0" w14:textId="77777777" w:rsidR="005217C1" w:rsidRPr="00F5057F" w:rsidRDefault="005217C1" w:rsidP="009664BA">
            <w:pPr>
              <w:rPr>
                <w:rFonts w:ascii="Arial" w:hAnsi="Arial" w:cs="Arial"/>
                <w:b/>
                <w:sz w:val="10"/>
                <w:szCs w:val="16"/>
              </w:rPr>
            </w:pPr>
            <w:r w:rsidRPr="00F5057F">
              <w:rPr>
                <w:rFonts w:ascii="Arial" w:hAnsi="Arial" w:cs="Arial"/>
                <w:b/>
                <w:sz w:val="10"/>
                <w:szCs w:val="16"/>
              </w:rPr>
              <w:t>General Information</w:t>
            </w:r>
          </w:p>
        </w:tc>
        <w:tc>
          <w:tcPr>
            <w:tcW w:w="746" w:type="dxa"/>
            <w:shd w:val="clear" w:color="auto" w:fill="FFFF00"/>
            <w:hideMark/>
          </w:tcPr>
          <w:p w14:paraId="04126436" w14:textId="77777777" w:rsidR="005217C1" w:rsidRPr="00F5057F" w:rsidRDefault="005217C1" w:rsidP="009664BA">
            <w:pPr>
              <w:rPr>
                <w:rFonts w:ascii="Arial" w:hAnsi="Arial" w:cs="Arial"/>
                <w:b/>
                <w:sz w:val="10"/>
                <w:szCs w:val="16"/>
              </w:rPr>
            </w:pPr>
            <w:r w:rsidRPr="00F5057F">
              <w:rPr>
                <w:rFonts w:ascii="Arial" w:hAnsi="Arial" w:cs="Arial"/>
                <w:b/>
                <w:sz w:val="10"/>
                <w:szCs w:val="16"/>
              </w:rPr>
              <w:t>Concept Formation</w:t>
            </w:r>
          </w:p>
        </w:tc>
        <w:tc>
          <w:tcPr>
            <w:tcW w:w="720" w:type="dxa"/>
            <w:shd w:val="clear" w:color="auto" w:fill="00B050"/>
            <w:hideMark/>
          </w:tcPr>
          <w:p w14:paraId="509B0DEF" w14:textId="77777777" w:rsidR="005217C1" w:rsidRPr="00F5057F" w:rsidRDefault="005217C1" w:rsidP="009664BA">
            <w:pPr>
              <w:rPr>
                <w:rFonts w:ascii="Arial" w:hAnsi="Arial" w:cs="Arial"/>
                <w:b/>
                <w:bCs/>
                <w:sz w:val="10"/>
                <w:szCs w:val="16"/>
              </w:rPr>
            </w:pPr>
            <w:r w:rsidRPr="00F5057F">
              <w:rPr>
                <w:rFonts w:ascii="Arial" w:hAnsi="Arial" w:cs="Arial"/>
                <w:b/>
                <w:bCs/>
                <w:sz w:val="10"/>
                <w:szCs w:val="16"/>
              </w:rPr>
              <w:t>Numbers Reversed</w:t>
            </w:r>
          </w:p>
        </w:tc>
      </w:tr>
      <w:tr w:rsidR="00F5057F" w:rsidRPr="00A50326" w14:paraId="02066421" w14:textId="77777777" w:rsidTr="00F5057F">
        <w:trPr>
          <w:trHeight w:val="472"/>
        </w:trPr>
        <w:tc>
          <w:tcPr>
            <w:tcW w:w="1070" w:type="dxa"/>
            <w:vMerge w:val="restart"/>
            <w:shd w:val="clear" w:color="auto" w:fill="D9D9D9" w:themeFill="background1" w:themeFillShade="D9"/>
            <w:hideMark/>
          </w:tcPr>
          <w:p w14:paraId="2B7FF5C2" w14:textId="4D146B5D" w:rsidR="005217C1" w:rsidRPr="00A50326" w:rsidRDefault="005217C1" w:rsidP="005217C1">
            <w:pPr>
              <w:rPr>
                <w:rFonts w:ascii="Arial" w:hAnsi="Arial" w:cs="Arial"/>
                <w:b/>
                <w:iCs/>
                <w:sz w:val="16"/>
                <w:szCs w:val="16"/>
              </w:rPr>
            </w:pPr>
            <w:r w:rsidRPr="00A50326">
              <w:rPr>
                <w:rFonts w:ascii="Arial" w:hAnsi="Arial" w:cs="Arial"/>
                <w:b/>
                <w:iCs/>
                <w:sz w:val="16"/>
                <w:szCs w:val="16"/>
              </w:rPr>
              <w:t>MAES Multiplicity</w:t>
            </w:r>
          </w:p>
        </w:tc>
        <w:tc>
          <w:tcPr>
            <w:tcW w:w="319" w:type="dxa"/>
            <w:shd w:val="clear" w:color="auto" w:fill="D9D9D9" w:themeFill="background1" w:themeFillShade="D9"/>
            <w:hideMark/>
          </w:tcPr>
          <w:p w14:paraId="6703D8A2" w14:textId="464394CD" w:rsidR="005217C1" w:rsidRPr="00A50326" w:rsidRDefault="005217C1" w:rsidP="005217C1">
            <w:pPr>
              <w:rPr>
                <w:rFonts w:ascii="Arial" w:hAnsi="Arial" w:cs="Arial"/>
                <w:b/>
                <w:i/>
                <w:iCs/>
                <w:sz w:val="16"/>
                <w:szCs w:val="16"/>
              </w:rPr>
            </w:pPr>
            <w:r w:rsidRPr="00A50326">
              <w:rPr>
                <w:rFonts w:ascii="Arial" w:hAnsi="Arial" w:cs="Arial"/>
                <w:b/>
                <w:i/>
                <w:iCs/>
                <w:sz w:val="16"/>
                <w:szCs w:val="16"/>
              </w:rPr>
              <w:t>r</w:t>
            </w:r>
          </w:p>
        </w:tc>
        <w:tc>
          <w:tcPr>
            <w:tcW w:w="537" w:type="dxa"/>
            <w:shd w:val="clear" w:color="auto" w:fill="F2F2F2" w:themeFill="background1" w:themeFillShade="F2"/>
            <w:noWrap/>
            <w:hideMark/>
          </w:tcPr>
          <w:p w14:paraId="199AB1CB"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0.09</w:t>
            </w:r>
          </w:p>
        </w:tc>
        <w:tc>
          <w:tcPr>
            <w:tcW w:w="805" w:type="dxa"/>
            <w:shd w:val="clear" w:color="auto" w:fill="FFFFFF" w:themeFill="background1"/>
            <w:noWrap/>
            <w:hideMark/>
          </w:tcPr>
          <w:p w14:paraId="5EA384A6"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-0.07</w:t>
            </w:r>
          </w:p>
        </w:tc>
        <w:tc>
          <w:tcPr>
            <w:tcW w:w="634" w:type="dxa"/>
            <w:shd w:val="clear" w:color="auto" w:fill="00B050"/>
            <w:noWrap/>
            <w:hideMark/>
          </w:tcPr>
          <w:p w14:paraId="4224AE38" w14:textId="77777777" w:rsidR="005217C1" w:rsidRPr="0075350F" w:rsidRDefault="005217C1" w:rsidP="005217C1">
            <w:pPr>
              <w:rPr>
                <w:rFonts w:ascii="Arial" w:hAnsi="Arial" w:cs="Arial"/>
                <w:b/>
                <w:bCs/>
                <w:iCs/>
                <w:sz w:val="16"/>
                <w:szCs w:val="16"/>
              </w:rPr>
            </w:pPr>
            <w:r w:rsidRPr="0075350F">
              <w:rPr>
                <w:rFonts w:ascii="Arial" w:hAnsi="Arial" w:cs="Arial"/>
                <w:b/>
                <w:bCs/>
                <w:iCs/>
                <w:sz w:val="16"/>
                <w:szCs w:val="16"/>
              </w:rPr>
              <w:t>0.21</w:t>
            </w:r>
          </w:p>
        </w:tc>
        <w:tc>
          <w:tcPr>
            <w:tcW w:w="680" w:type="dxa"/>
            <w:shd w:val="clear" w:color="auto" w:fill="00B050"/>
            <w:noWrap/>
            <w:hideMark/>
          </w:tcPr>
          <w:p w14:paraId="143C72FD" w14:textId="77777777" w:rsidR="005217C1" w:rsidRPr="0075350F" w:rsidRDefault="005217C1" w:rsidP="005217C1">
            <w:pPr>
              <w:rPr>
                <w:rFonts w:ascii="Arial" w:hAnsi="Arial" w:cs="Arial"/>
                <w:b/>
                <w:bCs/>
                <w:iCs/>
                <w:sz w:val="16"/>
                <w:szCs w:val="16"/>
              </w:rPr>
            </w:pPr>
            <w:r w:rsidRPr="0075350F">
              <w:rPr>
                <w:rFonts w:ascii="Arial" w:hAnsi="Arial" w:cs="Arial"/>
                <w:b/>
                <w:bCs/>
                <w:iCs/>
                <w:sz w:val="16"/>
                <w:szCs w:val="16"/>
              </w:rPr>
              <w:t>-0.08</w:t>
            </w:r>
          </w:p>
        </w:tc>
        <w:tc>
          <w:tcPr>
            <w:tcW w:w="693" w:type="dxa"/>
            <w:shd w:val="clear" w:color="auto" w:fill="FFFF00"/>
            <w:noWrap/>
            <w:hideMark/>
          </w:tcPr>
          <w:p w14:paraId="6E1402D0"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0.03</w:t>
            </w:r>
          </w:p>
        </w:tc>
        <w:tc>
          <w:tcPr>
            <w:tcW w:w="893" w:type="dxa"/>
            <w:shd w:val="clear" w:color="auto" w:fill="FFFF00"/>
            <w:noWrap/>
            <w:hideMark/>
          </w:tcPr>
          <w:p w14:paraId="10BCDA87"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-0.04</w:t>
            </w:r>
          </w:p>
        </w:tc>
        <w:tc>
          <w:tcPr>
            <w:tcW w:w="677" w:type="dxa"/>
            <w:shd w:val="clear" w:color="auto" w:fill="FFFF00"/>
            <w:noWrap/>
            <w:hideMark/>
          </w:tcPr>
          <w:p w14:paraId="38183559"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0.03</w:t>
            </w:r>
          </w:p>
        </w:tc>
        <w:tc>
          <w:tcPr>
            <w:tcW w:w="842" w:type="dxa"/>
            <w:shd w:val="clear" w:color="auto" w:fill="00B050"/>
            <w:noWrap/>
            <w:hideMark/>
          </w:tcPr>
          <w:p w14:paraId="13C37C0A" w14:textId="77777777" w:rsidR="005217C1" w:rsidRPr="0075350F" w:rsidRDefault="005217C1" w:rsidP="005217C1">
            <w:pPr>
              <w:rPr>
                <w:rFonts w:ascii="Arial" w:hAnsi="Arial" w:cs="Arial"/>
                <w:b/>
                <w:bCs/>
                <w:iCs/>
                <w:sz w:val="16"/>
                <w:szCs w:val="16"/>
              </w:rPr>
            </w:pPr>
            <w:r w:rsidRPr="0075350F">
              <w:rPr>
                <w:rFonts w:ascii="Arial" w:hAnsi="Arial" w:cs="Arial"/>
                <w:b/>
                <w:bCs/>
                <w:iCs/>
                <w:sz w:val="16"/>
                <w:szCs w:val="16"/>
              </w:rPr>
              <w:t>0.20</w:t>
            </w:r>
          </w:p>
        </w:tc>
        <w:tc>
          <w:tcPr>
            <w:tcW w:w="805" w:type="dxa"/>
            <w:shd w:val="clear" w:color="auto" w:fill="FFFFFF" w:themeFill="background1"/>
            <w:noWrap/>
            <w:hideMark/>
          </w:tcPr>
          <w:p w14:paraId="4D7A43E7" w14:textId="77777777" w:rsidR="005217C1" w:rsidRPr="0075350F" w:rsidRDefault="005217C1" w:rsidP="005217C1">
            <w:pPr>
              <w:rPr>
                <w:rFonts w:ascii="Arial" w:hAnsi="Arial" w:cs="Arial"/>
                <w:b/>
                <w:iCs/>
                <w:sz w:val="16"/>
                <w:szCs w:val="16"/>
              </w:rPr>
            </w:pPr>
            <w:r w:rsidRPr="0075350F">
              <w:rPr>
                <w:rFonts w:ascii="Arial" w:hAnsi="Arial" w:cs="Arial"/>
                <w:b/>
                <w:iCs/>
                <w:sz w:val="16"/>
                <w:szCs w:val="16"/>
              </w:rPr>
              <w:t>0.06</w:t>
            </w:r>
          </w:p>
        </w:tc>
        <w:tc>
          <w:tcPr>
            <w:tcW w:w="746" w:type="dxa"/>
            <w:shd w:val="clear" w:color="auto" w:fill="FFFF00"/>
            <w:noWrap/>
            <w:hideMark/>
          </w:tcPr>
          <w:p w14:paraId="668BDE91" w14:textId="296B60EB" w:rsidR="005217C1" w:rsidRPr="0075350F" w:rsidRDefault="0004601A" w:rsidP="005217C1">
            <w:pPr>
              <w:rPr>
                <w:rFonts w:ascii="Arial" w:hAnsi="Arial" w:cs="Arial"/>
                <w:b/>
                <w:iCs/>
                <w:sz w:val="16"/>
                <w:szCs w:val="16"/>
              </w:rPr>
            </w:pPr>
            <w:r>
              <w:rPr>
                <w:rFonts w:ascii="Arial" w:hAnsi="Arial" w:cs="Arial"/>
                <w:b/>
                <w:iCs/>
                <w:sz w:val="16"/>
                <w:szCs w:val="16"/>
              </w:rPr>
              <w:t>0</w:t>
            </w:r>
            <w:r w:rsidR="005217C1" w:rsidRPr="0075350F">
              <w:rPr>
                <w:rFonts w:ascii="Arial" w:hAnsi="Arial" w:cs="Arial"/>
                <w:b/>
                <w:iCs/>
                <w:sz w:val="16"/>
                <w:szCs w:val="16"/>
              </w:rPr>
              <w:t>.33</w:t>
            </w:r>
            <w:r w:rsidR="005217C1" w:rsidRPr="0075350F">
              <w:rPr>
                <w:rFonts w:ascii="Arial" w:hAnsi="Arial" w:cs="Arial"/>
                <w:b/>
                <w:iCs/>
                <w:sz w:val="16"/>
                <w:szCs w:val="16"/>
                <w:vertAlign w:val="superscript"/>
              </w:rPr>
              <w:t>*</w:t>
            </w:r>
          </w:p>
        </w:tc>
        <w:tc>
          <w:tcPr>
            <w:tcW w:w="720" w:type="dxa"/>
            <w:shd w:val="clear" w:color="auto" w:fill="00B050"/>
            <w:noWrap/>
            <w:hideMark/>
          </w:tcPr>
          <w:p w14:paraId="1EE63EDD" w14:textId="77777777" w:rsidR="005217C1" w:rsidRPr="0075350F" w:rsidRDefault="005217C1" w:rsidP="005217C1">
            <w:pPr>
              <w:rPr>
                <w:rFonts w:ascii="Arial" w:hAnsi="Arial" w:cs="Arial"/>
                <w:b/>
                <w:bCs/>
                <w:iCs/>
                <w:sz w:val="16"/>
                <w:szCs w:val="16"/>
              </w:rPr>
            </w:pPr>
            <w:r w:rsidRPr="0075350F">
              <w:rPr>
                <w:rFonts w:ascii="Arial" w:hAnsi="Arial" w:cs="Arial"/>
                <w:b/>
                <w:bCs/>
                <w:iCs/>
                <w:sz w:val="16"/>
                <w:szCs w:val="16"/>
              </w:rPr>
              <w:t>0.14</w:t>
            </w:r>
          </w:p>
        </w:tc>
      </w:tr>
      <w:tr w:rsidR="00F5057F" w:rsidRPr="00A50326" w14:paraId="6B34B436" w14:textId="77777777" w:rsidTr="00F5057F">
        <w:trPr>
          <w:trHeight w:val="315"/>
        </w:trPr>
        <w:tc>
          <w:tcPr>
            <w:tcW w:w="1070" w:type="dxa"/>
            <w:vMerge/>
            <w:shd w:val="clear" w:color="auto" w:fill="D9D9D9" w:themeFill="background1" w:themeFillShade="D9"/>
            <w:hideMark/>
          </w:tcPr>
          <w:p w14:paraId="4A3BF02C" w14:textId="77777777" w:rsidR="005217C1" w:rsidRPr="00A50326" w:rsidRDefault="005217C1" w:rsidP="005217C1">
            <w:pPr>
              <w:rPr>
                <w:rFonts w:ascii="Arial" w:hAnsi="Arial" w:cs="Arial"/>
                <w:b/>
                <w:iCs/>
                <w:sz w:val="16"/>
                <w:szCs w:val="16"/>
              </w:rPr>
            </w:pPr>
          </w:p>
        </w:tc>
        <w:tc>
          <w:tcPr>
            <w:tcW w:w="319" w:type="dxa"/>
            <w:shd w:val="clear" w:color="auto" w:fill="D9D9D9" w:themeFill="background1" w:themeFillShade="D9"/>
            <w:hideMark/>
          </w:tcPr>
          <w:p w14:paraId="7879ABF0" w14:textId="219659C0" w:rsidR="005217C1" w:rsidRPr="00A50326" w:rsidRDefault="005217C1" w:rsidP="005217C1">
            <w:pPr>
              <w:rPr>
                <w:rFonts w:ascii="Arial" w:hAnsi="Arial" w:cs="Arial"/>
                <w:b/>
                <w:i/>
                <w:iCs/>
                <w:sz w:val="16"/>
                <w:szCs w:val="16"/>
              </w:rPr>
            </w:pPr>
            <w:r w:rsidRPr="00A50326">
              <w:rPr>
                <w:rFonts w:ascii="Arial" w:hAnsi="Arial" w:cs="Arial"/>
                <w:b/>
                <w:i/>
                <w:iCs/>
                <w:sz w:val="16"/>
                <w:szCs w:val="16"/>
              </w:rPr>
              <w:t>p</w:t>
            </w:r>
          </w:p>
        </w:tc>
        <w:tc>
          <w:tcPr>
            <w:tcW w:w="537" w:type="dxa"/>
            <w:shd w:val="clear" w:color="auto" w:fill="F2F2F2" w:themeFill="background1" w:themeFillShade="F2"/>
            <w:noWrap/>
            <w:hideMark/>
          </w:tcPr>
          <w:p w14:paraId="6EC612DE"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0.58</w:t>
            </w:r>
          </w:p>
        </w:tc>
        <w:tc>
          <w:tcPr>
            <w:tcW w:w="805" w:type="dxa"/>
            <w:shd w:val="clear" w:color="auto" w:fill="FFFFFF" w:themeFill="background1"/>
            <w:noWrap/>
            <w:hideMark/>
          </w:tcPr>
          <w:p w14:paraId="3FCEB214"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0.67</w:t>
            </w:r>
          </w:p>
        </w:tc>
        <w:tc>
          <w:tcPr>
            <w:tcW w:w="634" w:type="dxa"/>
            <w:shd w:val="clear" w:color="auto" w:fill="00B050"/>
            <w:noWrap/>
            <w:hideMark/>
          </w:tcPr>
          <w:p w14:paraId="7792849A" w14:textId="77777777" w:rsidR="005217C1" w:rsidRPr="006E1244" w:rsidRDefault="005217C1" w:rsidP="005217C1">
            <w:pPr>
              <w:rPr>
                <w:rFonts w:ascii="Arial" w:hAnsi="Arial" w:cs="Arial"/>
                <w:bCs/>
                <w:iCs/>
                <w:sz w:val="16"/>
                <w:szCs w:val="16"/>
              </w:rPr>
            </w:pPr>
            <w:r w:rsidRPr="006E1244">
              <w:rPr>
                <w:rFonts w:ascii="Arial" w:hAnsi="Arial" w:cs="Arial"/>
                <w:bCs/>
                <w:iCs/>
                <w:sz w:val="16"/>
                <w:szCs w:val="16"/>
              </w:rPr>
              <w:t>0.17</w:t>
            </w:r>
          </w:p>
        </w:tc>
        <w:tc>
          <w:tcPr>
            <w:tcW w:w="680" w:type="dxa"/>
            <w:shd w:val="clear" w:color="auto" w:fill="00B050"/>
            <w:noWrap/>
            <w:hideMark/>
          </w:tcPr>
          <w:p w14:paraId="4AF5F1E5" w14:textId="77777777" w:rsidR="005217C1" w:rsidRPr="006E1244" w:rsidRDefault="005217C1" w:rsidP="005217C1">
            <w:pPr>
              <w:rPr>
                <w:rFonts w:ascii="Arial" w:hAnsi="Arial" w:cs="Arial"/>
                <w:bCs/>
                <w:iCs/>
                <w:sz w:val="16"/>
                <w:szCs w:val="16"/>
              </w:rPr>
            </w:pPr>
            <w:r w:rsidRPr="006E1244">
              <w:rPr>
                <w:rFonts w:ascii="Arial" w:hAnsi="Arial" w:cs="Arial"/>
                <w:bCs/>
                <w:iCs/>
                <w:sz w:val="16"/>
                <w:szCs w:val="16"/>
              </w:rPr>
              <w:t>0.59</w:t>
            </w:r>
          </w:p>
        </w:tc>
        <w:tc>
          <w:tcPr>
            <w:tcW w:w="693" w:type="dxa"/>
            <w:shd w:val="clear" w:color="auto" w:fill="FFFF00"/>
            <w:noWrap/>
            <w:hideMark/>
          </w:tcPr>
          <w:p w14:paraId="584DB209"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0.84</w:t>
            </w:r>
          </w:p>
        </w:tc>
        <w:tc>
          <w:tcPr>
            <w:tcW w:w="893" w:type="dxa"/>
            <w:shd w:val="clear" w:color="auto" w:fill="FFFF00"/>
            <w:noWrap/>
            <w:hideMark/>
          </w:tcPr>
          <w:p w14:paraId="37B3E6ED"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0.82</w:t>
            </w:r>
          </w:p>
        </w:tc>
        <w:tc>
          <w:tcPr>
            <w:tcW w:w="677" w:type="dxa"/>
            <w:shd w:val="clear" w:color="auto" w:fill="FFFF00"/>
            <w:noWrap/>
            <w:hideMark/>
          </w:tcPr>
          <w:p w14:paraId="0BAEDBE8"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0.83</w:t>
            </w:r>
          </w:p>
        </w:tc>
        <w:tc>
          <w:tcPr>
            <w:tcW w:w="842" w:type="dxa"/>
            <w:shd w:val="clear" w:color="auto" w:fill="00B050"/>
            <w:noWrap/>
            <w:hideMark/>
          </w:tcPr>
          <w:p w14:paraId="4E370389" w14:textId="77777777" w:rsidR="005217C1" w:rsidRPr="006E1244" w:rsidRDefault="005217C1" w:rsidP="005217C1">
            <w:pPr>
              <w:rPr>
                <w:rFonts w:ascii="Arial" w:hAnsi="Arial" w:cs="Arial"/>
                <w:bCs/>
                <w:iCs/>
                <w:sz w:val="16"/>
                <w:szCs w:val="16"/>
              </w:rPr>
            </w:pPr>
            <w:r w:rsidRPr="006E1244">
              <w:rPr>
                <w:rFonts w:ascii="Arial" w:hAnsi="Arial" w:cs="Arial"/>
                <w:bCs/>
                <w:iCs/>
                <w:sz w:val="16"/>
                <w:szCs w:val="16"/>
              </w:rPr>
              <w:t>0.19</w:t>
            </w:r>
          </w:p>
        </w:tc>
        <w:tc>
          <w:tcPr>
            <w:tcW w:w="805" w:type="dxa"/>
            <w:shd w:val="clear" w:color="auto" w:fill="FFFFFF" w:themeFill="background1"/>
            <w:noWrap/>
            <w:hideMark/>
          </w:tcPr>
          <w:p w14:paraId="2F8F77B6" w14:textId="77777777" w:rsidR="005217C1" w:rsidRPr="006E1244" w:rsidRDefault="005217C1" w:rsidP="005217C1">
            <w:pPr>
              <w:rPr>
                <w:rFonts w:ascii="Arial" w:hAnsi="Arial" w:cs="Arial"/>
                <w:iCs/>
                <w:sz w:val="16"/>
                <w:szCs w:val="16"/>
              </w:rPr>
            </w:pPr>
            <w:r w:rsidRPr="006E1244">
              <w:rPr>
                <w:rFonts w:ascii="Arial" w:hAnsi="Arial" w:cs="Arial"/>
                <w:iCs/>
                <w:sz w:val="16"/>
                <w:szCs w:val="16"/>
              </w:rPr>
              <w:t>0.70</w:t>
            </w:r>
          </w:p>
        </w:tc>
        <w:tc>
          <w:tcPr>
            <w:tcW w:w="746" w:type="dxa"/>
            <w:shd w:val="clear" w:color="auto" w:fill="FFFF00"/>
            <w:noWrap/>
            <w:hideMark/>
          </w:tcPr>
          <w:p w14:paraId="2DF04BE6" w14:textId="77777777" w:rsidR="005217C1" w:rsidRPr="00600452" w:rsidRDefault="005217C1" w:rsidP="005217C1">
            <w:pPr>
              <w:rPr>
                <w:rFonts w:ascii="Arial" w:hAnsi="Arial" w:cs="Arial"/>
                <w:b/>
                <w:iCs/>
                <w:sz w:val="16"/>
                <w:szCs w:val="16"/>
              </w:rPr>
            </w:pPr>
            <w:r w:rsidRPr="00600452">
              <w:rPr>
                <w:rFonts w:ascii="Arial" w:hAnsi="Arial" w:cs="Arial"/>
                <w:b/>
                <w:iCs/>
                <w:sz w:val="16"/>
                <w:szCs w:val="16"/>
              </w:rPr>
              <w:t>0.03</w:t>
            </w:r>
          </w:p>
        </w:tc>
        <w:tc>
          <w:tcPr>
            <w:tcW w:w="720" w:type="dxa"/>
            <w:shd w:val="clear" w:color="auto" w:fill="00B050"/>
            <w:noWrap/>
            <w:hideMark/>
          </w:tcPr>
          <w:p w14:paraId="769C74AB" w14:textId="77777777" w:rsidR="005217C1" w:rsidRPr="006E1244" w:rsidRDefault="005217C1" w:rsidP="005217C1">
            <w:pPr>
              <w:rPr>
                <w:rFonts w:ascii="Arial" w:hAnsi="Arial" w:cs="Arial"/>
                <w:bCs/>
                <w:iCs/>
                <w:sz w:val="16"/>
                <w:szCs w:val="16"/>
              </w:rPr>
            </w:pPr>
            <w:r w:rsidRPr="006E1244">
              <w:rPr>
                <w:rFonts w:ascii="Arial" w:hAnsi="Arial" w:cs="Arial"/>
                <w:bCs/>
                <w:iCs/>
                <w:sz w:val="16"/>
                <w:szCs w:val="16"/>
              </w:rPr>
              <w:t>0.38</w:t>
            </w:r>
          </w:p>
        </w:tc>
      </w:tr>
      <w:tr w:rsidR="00F5057F" w:rsidRPr="00A50326" w14:paraId="20996A27" w14:textId="77777777" w:rsidTr="00F5057F">
        <w:trPr>
          <w:trHeight w:val="96"/>
        </w:trPr>
        <w:tc>
          <w:tcPr>
            <w:tcW w:w="1070" w:type="dxa"/>
            <w:shd w:val="clear" w:color="auto" w:fill="F2F2F2" w:themeFill="background1" w:themeFillShade="F2"/>
          </w:tcPr>
          <w:p w14:paraId="4970574F" w14:textId="77777777" w:rsidR="00AD1CFB" w:rsidRPr="00A50326" w:rsidRDefault="00AD1CFB" w:rsidP="005217C1">
            <w:pPr>
              <w:rPr>
                <w:rFonts w:ascii="Arial" w:hAnsi="Arial" w:cs="Arial"/>
                <w:b/>
                <w:sz w:val="16"/>
                <w:szCs w:val="16"/>
              </w:rPr>
            </w:pPr>
          </w:p>
        </w:tc>
        <w:tc>
          <w:tcPr>
            <w:tcW w:w="319" w:type="dxa"/>
            <w:shd w:val="clear" w:color="auto" w:fill="F2F2F2" w:themeFill="background1" w:themeFillShade="F2"/>
          </w:tcPr>
          <w:p w14:paraId="75D24458" w14:textId="77777777" w:rsidR="00AD1CFB" w:rsidRPr="00A50326" w:rsidRDefault="00AD1CFB" w:rsidP="005217C1">
            <w:pPr>
              <w:rPr>
                <w:rFonts w:ascii="Arial" w:hAnsi="Arial" w:cs="Arial"/>
                <w:b/>
                <w:i/>
                <w:sz w:val="16"/>
                <w:szCs w:val="16"/>
              </w:rPr>
            </w:pPr>
          </w:p>
        </w:tc>
        <w:tc>
          <w:tcPr>
            <w:tcW w:w="537" w:type="dxa"/>
            <w:shd w:val="clear" w:color="auto" w:fill="F2F2F2" w:themeFill="background1" w:themeFillShade="F2"/>
            <w:noWrap/>
          </w:tcPr>
          <w:p w14:paraId="1E94CB39" w14:textId="77777777" w:rsidR="00AD1CFB" w:rsidRPr="0075350F" w:rsidRDefault="00AD1CFB" w:rsidP="005217C1">
            <w:pPr>
              <w:rPr>
                <w:rFonts w:ascii="Arial" w:hAnsi="Arial" w:cs="Arial"/>
                <w:b/>
                <w:sz w:val="16"/>
                <w:szCs w:val="16"/>
              </w:rPr>
            </w:pPr>
          </w:p>
        </w:tc>
        <w:tc>
          <w:tcPr>
            <w:tcW w:w="805" w:type="dxa"/>
            <w:shd w:val="clear" w:color="auto" w:fill="F2F2F2" w:themeFill="background1" w:themeFillShade="F2"/>
            <w:noWrap/>
          </w:tcPr>
          <w:p w14:paraId="4D4508DF" w14:textId="77777777" w:rsidR="00AD1CFB" w:rsidRPr="0075350F" w:rsidRDefault="00AD1CFB" w:rsidP="005217C1">
            <w:pPr>
              <w:rPr>
                <w:rFonts w:ascii="Arial" w:hAnsi="Arial" w:cs="Arial"/>
                <w:b/>
                <w:sz w:val="16"/>
                <w:szCs w:val="16"/>
              </w:rPr>
            </w:pPr>
          </w:p>
        </w:tc>
        <w:tc>
          <w:tcPr>
            <w:tcW w:w="634" w:type="dxa"/>
            <w:shd w:val="clear" w:color="auto" w:fill="F2F2F2" w:themeFill="background1" w:themeFillShade="F2"/>
            <w:noWrap/>
          </w:tcPr>
          <w:p w14:paraId="6C723192" w14:textId="77777777" w:rsidR="00AD1CFB" w:rsidRPr="0075350F" w:rsidRDefault="00AD1CFB" w:rsidP="005217C1">
            <w:pPr>
              <w:rPr>
                <w:rFonts w:ascii="Arial" w:hAnsi="Arial" w:cs="Arial"/>
                <w:b/>
                <w:bCs/>
                <w:sz w:val="16"/>
                <w:szCs w:val="16"/>
              </w:rPr>
            </w:pPr>
          </w:p>
        </w:tc>
        <w:tc>
          <w:tcPr>
            <w:tcW w:w="680" w:type="dxa"/>
            <w:shd w:val="clear" w:color="auto" w:fill="F2F2F2" w:themeFill="background1" w:themeFillShade="F2"/>
            <w:noWrap/>
          </w:tcPr>
          <w:p w14:paraId="73E490B7" w14:textId="77777777" w:rsidR="00AD1CFB" w:rsidRPr="0075350F" w:rsidRDefault="00AD1CFB" w:rsidP="005217C1">
            <w:pPr>
              <w:rPr>
                <w:rFonts w:ascii="Arial" w:hAnsi="Arial" w:cs="Arial"/>
                <w:b/>
                <w:bCs/>
                <w:sz w:val="16"/>
                <w:szCs w:val="16"/>
              </w:rPr>
            </w:pPr>
          </w:p>
        </w:tc>
        <w:tc>
          <w:tcPr>
            <w:tcW w:w="693" w:type="dxa"/>
            <w:shd w:val="clear" w:color="auto" w:fill="F2F2F2" w:themeFill="background1" w:themeFillShade="F2"/>
            <w:noWrap/>
          </w:tcPr>
          <w:p w14:paraId="2290C53A" w14:textId="77777777" w:rsidR="00AD1CFB" w:rsidRPr="0075350F" w:rsidRDefault="00AD1CFB" w:rsidP="005217C1">
            <w:pPr>
              <w:rPr>
                <w:rFonts w:ascii="Arial" w:hAnsi="Arial" w:cs="Arial"/>
                <w:b/>
                <w:sz w:val="16"/>
                <w:szCs w:val="16"/>
              </w:rPr>
            </w:pPr>
          </w:p>
        </w:tc>
        <w:tc>
          <w:tcPr>
            <w:tcW w:w="893" w:type="dxa"/>
            <w:shd w:val="clear" w:color="auto" w:fill="F2F2F2" w:themeFill="background1" w:themeFillShade="F2"/>
            <w:noWrap/>
          </w:tcPr>
          <w:p w14:paraId="26EB0894" w14:textId="77777777" w:rsidR="00AD1CFB" w:rsidRPr="0075350F" w:rsidRDefault="00AD1CFB" w:rsidP="005217C1">
            <w:pPr>
              <w:rPr>
                <w:rFonts w:ascii="Arial" w:hAnsi="Arial" w:cs="Arial"/>
                <w:b/>
                <w:sz w:val="16"/>
                <w:szCs w:val="16"/>
              </w:rPr>
            </w:pPr>
          </w:p>
        </w:tc>
        <w:tc>
          <w:tcPr>
            <w:tcW w:w="677" w:type="dxa"/>
            <w:shd w:val="clear" w:color="auto" w:fill="F2F2F2" w:themeFill="background1" w:themeFillShade="F2"/>
            <w:noWrap/>
          </w:tcPr>
          <w:p w14:paraId="21B4ECAF" w14:textId="77777777" w:rsidR="00AD1CFB" w:rsidRPr="0075350F" w:rsidRDefault="00AD1CFB" w:rsidP="005217C1">
            <w:pPr>
              <w:rPr>
                <w:rFonts w:ascii="Arial" w:hAnsi="Arial" w:cs="Arial"/>
                <w:b/>
                <w:sz w:val="16"/>
                <w:szCs w:val="16"/>
              </w:rPr>
            </w:pPr>
          </w:p>
        </w:tc>
        <w:tc>
          <w:tcPr>
            <w:tcW w:w="842" w:type="dxa"/>
            <w:shd w:val="clear" w:color="auto" w:fill="F2F2F2" w:themeFill="background1" w:themeFillShade="F2"/>
            <w:noWrap/>
          </w:tcPr>
          <w:p w14:paraId="34E8C406" w14:textId="77777777" w:rsidR="00AD1CFB" w:rsidRPr="0075350F" w:rsidRDefault="00AD1CFB" w:rsidP="005217C1">
            <w:pPr>
              <w:rPr>
                <w:rFonts w:ascii="Arial" w:hAnsi="Arial" w:cs="Arial"/>
                <w:b/>
                <w:bCs/>
                <w:sz w:val="16"/>
                <w:szCs w:val="16"/>
              </w:rPr>
            </w:pPr>
          </w:p>
        </w:tc>
        <w:tc>
          <w:tcPr>
            <w:tcW w:w="805" w:type="dxa"/>
            <w:shd w:val="clear" w:color="auto" w:fill="F2F2F2" w:themeFill="background1" w:themeFillShade="F2"/>
            <w:noWrap/>
          </w:tcPr>
          <w:p w14:paraId="60B4FAD6" w14:textId="77777777" w:rsidR="00AD1CFB" w:rsidRPr="0075350F" w:rsidRDefault="00AD1CFB" w:rsidP="005217C1">
            <w:pPr>
              <w:rPr>
                <w:rFonts w:ascii="Arial" w:hAnsi="Arial" w:cs="Arial"/>
                <w:b/>
                <w:sz w:val="16"/>
                <w:szCs w:val="16"/>
              </w:rPr>
            </w:pPr>
          </w:p>
        </w:tc>
        <w:tc>
          <w:tcPr>
            <w:tcW w:w="746" w:type="dxa"/>
            <w:shd w:val="clear" w:color="auto" w:fill="F2F2F2" w:themeFill="background1" w:themeFillShade="F2"/>
            <w:noWrap/>
          </w:tcPr>
          <w:p w14:paraId="1A07C9B9" w14:textId="77777777" w:rsidR="00AD1CFB" w:rsidRPr="0075350F" w:rsidRDefault="00AD1CFB" w:rsidP="005217C1">
            <w:pPr>
              <w:rPr>
                <w:rFonts w:ascii="Arial" w:hAnsi="Arial" w:cs="Arial"/>
                <w:b/>
                <w:sz w:val="16"/>
                <w:szCs w:val="16"/>
              </w:rPr>
            </w:pPr>
          </w:p>
        </w:tc>
        <w:tc>
          <w:tcPr>
            <w:tcW w:w="720" w:type="dxa"/>
            <w:shd w:val="clear" w:color="auto" w:fill="F2F2F2" w:themeFill="background1" w:themeFillShade="F2"/>
            <w:noWrap/>
          </w:tcPr>
          <w:p w14:paraId="37D279DA" w14:textId="77777777" w:rsidR="00AD1CFB" w:rsidRPr="0075350F" w:rsidRDefault="00AD1CFB" w:rsidP="005217C1">
            <w:pPr>
              <w:rPr>
                <w:rFonts w:ascii="Arial" w:hAnsi="Arial" w:cs="Arial"/>
                <w:b/>
                <w:bCs/>
                <w:sz w:val="16"/>
                <w:szCs w:val="16"/>
              </w:rPr>
            </w:pPr>
          </w:p>
        </w:tc>
      </w:tr>
      <w:tr w:rsidR="00F5057F" w:rsidRPr="00A50326" w14:paraId="1D54D2C6" w14:textId="77777777" w:rsidTr="00F5057F">
        <w:trPr>
          <w:trHeight w:val="452"/>
        </w:trPr>
        <w:tc>
          <w:tcPr>
            <w:tcW w:w="1070" w:type="dxa"/>
            <w:vMerge w:val="restart"/>
            <w:shd w:val="clear" w:color="auto" w:fill="D9D9D9" w:themeFill="background1" w:themeFillShade="D9"/>
            <w:hideMark/>
          </w:tcPr>
          <w:p w14:paraId="3B030465" w14:textId="4B3C834E" w:rsidR="005217C1" w:rsidRPr="00A50326" w:rsidRDefault="005217C1" w:rsidP="005217C1">
            <w:pPr>
              <w:rPr>
                <w:rFonts w:ascii="Arial" w:hAnsi="Arial" w:cs="Arial"/>
                <w:b/>
                <w:sz w:val="16"/>
                <w:szCs w:val="16"/>
              </w:rPr>
            </w:pPr>
            <w:r w:rsidRPr="00A50326">
              <w:rPr>
                <w:rFonts w:ascii="Arial" w:hAnsi="Arial" w:cs="Arial"/>
                <w:b/>
                <w:sz w:val="16"/>
                <w:szCs w:val="16"/>
              </w:rPr>
              <w:t>MAES Severity</w:t>
            </w:r>
          </w:p>
        </w:tc>
        <w:tc>
          <w:tcPr>
            <w:tcW w:w="319" w:type="dxa"/>
            <w:shd w:val="clear" w:color="auto" w:fill="D9D9D9" w:themeFill="background1" w:themeFillShade="D9"/>
            <w:hideMark/>
          </w:tcPr>
          <w:p w14:paraId="7DCC64B0" w14:textId="6CD7EDA3" w:rsidR="005217C1" w:rsidRPr="00A50326" w:rsidRDefault="005217C1" w:rsidP="005217C1">
            <w:pPr>
              <w:rPr>
                <w:rFonts w:ascii="Arial" w:hAnsi="Arial" w:cs="Arial"/>
                <w:b/>
                <w:i/>
                <w:sz w:val="16"/>
                <w:szCs w:val="16"/>
              </w:rPr>
            </w:pPr>
            <w:r w:rsidRPr="00A50326">
              <w:rPr>
                <w:rFonts w:ascii="Arial" w:hAnsi="Arial" w:cs="Arial"/>
                <w:b/>
                <w:i/>
                <w:sz w:val="16"/>
                <w:szCs w:val="16"/>
              </w:rPr>
              <w:t>r</w:t>
            </w:r>
          </w:p>
        </w:tc>
        <w:tc>
          <w:tcPr>
            <w:tcW w:w="537" w:type="dxa"/>
            <w:shd w:val="clear" w:color="auto" w:fill="F2F2F2" w:themeFill="background1" w:themeFillShade="F2"/>
            <w:noWrap/>
            <w:hideMark/>
          </w:tcPr>
          <w:p w14:paraId="253FB783" w14:textId="77777777" w:rsidR="005217C1" w:rsidRPr="0075350F" w:rsidRDefault="005217C1" w:rsidP="005217C1">
            <w:pPr>
              <w:rPr>
                <w:rFonts w:ascii="Arial" w:hAnsi="Arial" w:cs="Arial"/>
                <w:b/>
                <w:sz w:val="16"/>
                <w:szCs w:val="16"/>
              </w:rPr>
            </w:pPr>
            <w:r w:rsidRPr="0075350F">
              <w:rPr>
                <w:rFonts w:ascii="Arial" w:hAnsi="Arial" w:cs="Arial"/>
                <w:b/>
                <w:sz w:val="16"/>
                <w:szCs w:val="16"/>
              </w:rPr>
              <w:t>0.06</w:t>
            </w:r>
          </w:p>
        </w:tc>
        <w:tc>
          <w:tcPr>
            <w:tcW w:w="805" w:type="dxa"/>
            <w:shd w:val="clear" w:color="auto" w:fill="FFFFFF" w:themeFill="background1"/>
            <w:noWrap/>
            <w:hideMark/>
          </w:tcPr>
          <w:p w14:paraId="186FF4EF" w14:textId="77777777" w:rsidR="005217C1" w:rsidRPr="0075350F" w:rsidRDefault="005217C1" w:rsidP="005217C1">
            <w:pPr>
              <w:rPr>
                <w:rFonts w:ascii="Arial" w:hAnsi="Arial" w:cs="Arial"/>
                <w:b/>
                <w:sz w:val="16"/>
                <w:szCs w:val="16"/>
              </w:rPr>
            </w:pPr>
            <w:r w:rsidRPr="0075350F">
              <w:rPr>
                <w:rFonts w:ascii="Arial" w:hAnsi="Arial" w:cs="Arial"/>
                <w:b/>
                <w:sz w:val="16"/>
                <w:szCs w:val="16"/>
              </w:rPr>
              <w:t>-0.10</w:t>
            </w:r>
          </w:p>
        </w:tc>
        <w:tc>
          <w:tcPr>
            <w:tcW w:w="634" w:type="dxa"/>
            <w:shd w:val="clear" w:color="auto" w:fill="00B050"/>
            <w:noWrap/>
            <w:hideMark/>
          </w:tcPr>
          <w:p w14:paraId="1A142E39" w14:textId="77777777" w:rsidR="005217C1" w:rsidRPr="0075350F" w:rsidRDefault="005217C1" w:rsidP="005217C1">
            <w:pPr>
              <w:rPr>
                <w:rFonts w:ascii="Arial" w:hAnsi="Arial" w:cs="Arial"/>
                <w:b/>
                <w:bCs/>
                <w:sz w:val="16"/>
                <w:szCs w:val="16"/>
              </w:rPr>
            </w:pPr>
            <w:r w:rsidRPr="0075350F">
              <w:rPr>
                <w:rFonts w:ascii="Arial" w:hAnsi="Arial" w:cs="Arial"/>
                <w:b/>
                <w:bCs/>
                <w:sz w:val="16"/>
                <w:szCs w:val="16"/>
              </w:rPr>
              <w:t>0.19</w:t>
            </w:r>
          </w:p>
        </w:tc>
        <w:tc>
          <w:tcPr>
            <w:tcW w:w="680" w:type="dxa"/>
            <w:shd w:val="clear" w:color="auto" w:fill="00B050"/>
            <w:noWrap/>
            <w:hideMark/>
          </w:tcPr>
          <w:p w14:paraId="133DF96E" w14:textId="77777777" w:rsidR="005217C1" w:rsidRPr="0075350F" w:rsidRDefault="005217C1" w:rsidP="005217C1">
            <w:pPr>
              <w:rPr>
                <w:rFonts w:ascii="Arial" w:hAnsi="Arial" w:cs="Arial"/>
                <w:b/>
                <w:bCs/>
                <w:sz w:val="16"/>
                <w:szCs w:val="16"/>
              </w:rPr>
            </w:pPr>
            <w:r w:rsidRPr="0075350F">
              <w:rPr>
                <w:rFonts w:ascii="Arial" w:hAnsi="Arial" w:cs="Arial"/>
                <w:b/>
                <w:bCs/>
                <w:sz w:val="16"/>
                <w:szCs w:val="16"/>
              </w:rPr>
              <w:t>-0.14</w:t>
            </w:r>
          </w:p>
        </w:tc>
        <w:tc>
          <w:tcPr>
            <w:tcW w:w="693" w:type="dxa"/>
            <w:shd w:val="clear" w:color="auto" w:fill="FFFF00"/>
            <w:noWrap/>
            <w:hideMark/>
          </w:tcPr>
          <w:p w14:paraId="4B96B7B1" w14:textId="77777777" w:rsidR="005217C1" w:rsidRPr="0075350F" w:rsidRDefault="005217C1" w:rsidP="005217C1">
            <w:pPr>
              <w:rPr>
                <w:rFonts w:ascii="Arial" w:hAnsi="Arial" w:cs="Arial"/>
                <w:b/>
                <w:sz w:val="16"/>
                <w:szCs w:val="16"/>
              </w:rPr>
            </w:pPr>
            <w:r w:rsidRPr="0075350F">
              <w:rPr>
                <w:rFonts w:ascii="Arial" w:hAnsi="Arial" w:cs="Arial"/>
                <w:b/>
                <w:sz w:val="16"/>
                <w:szCs w:val="16"/>
              </w:rPr>
              <w:t>0.04</w:t>
            </w:r>
          </w:p>
        </w:tc>
        <w:tc>
          <w:tcPr>
            <w:tcW w:w="893" w:type="dxa"/>
            <w:shd w:val="clear" w:color="auto" w:fill="FFFF00"/>
            <w:noWrap/>
            <w:hideMark/>
          </w:tcPr>
          <w:p w14:paraId="7011ED1F" w14:textId="77777777" w:rsidR="005217C1" w:rsidRPr="0075350F" w:rsidRDefault="005217C1" w:rsidP="005217C1">
            <w:pPr>
              <w:rPr>
                <w:rFonts w:ascii="Arial" w:hAnsi="Arial" w:cs="Arial"/>
                <w:b/>
                <w:sz w:val="16"/>
                <w:szCs w:val="16"/>
              </w:rPr>
            </w:pPr>
            <w:r w:rsidRPr="0075350F">
              <w:rPr>
                <w:rFonts w:ascii="Arial" w:hAnsi="Arial" w:cs="Arial"/>
                <w:b/>
                <w:sz w:val="16"/>
                <w:szCs w:val="16"/>
              </w:rPr>
              <w:t>-0.02</w:t>
            </w:r>
          </w:p>
        </w:tc>
        <w:tc>
          <w:tcPr>
            <w:tcW w:w="677" w:type="dxa"/>
            <w:shd w:val="clear" w:color="auto" w:fill="FFFF00"/>
            <w:noWrap/>
            <w:hideMark/>
          </w:tcPr>
          <w:p w14:paraId="7AC2A6B5" w14:textId="77777777" w:rsidR="005217C1" w:rsidRPr="0075350F" w:rsidRDefault="005217C1" w:rsidP="005217C1">
            <w:pPr>
              <w:rPr>
                <w:rFonts w:ascii="Arial" w:hAnsi="Arial" w:cs="Arial"/>
                <w:b/>
                <w:sz w:val="16"/>
                <w:szCs w:val="16"/>
              </w:rPr>
            </w:pPr>
            <w:r w:rsidRPr="0075350F">
              <w:rPr>
                <w:rFonts w:ascii="Arial" w:hAnsi="Arial" w:cs="Arial"/>
                <w:b/>
                <w:sz w:val="16"/>
                <w:szCs w:val="16"/>
              </w:rPr>
              <w:t>-0.02</w:t>
            </w:r>
          </w:p>
        </w:tc>
        <w:tc>
          <w:tcPr>
            <w:tcW w:w="842" w:type="dxa"/>
            <w:shd w:val="clear" w:color="auto" w:fill="00B050"/>
            <w:noWrap/>
            <w:hideMark/>
          </w:tcPr>
          <w:p w14:paraId="1882760D" w14:textId="77777777" w:rsidR="005217C1" w:rsidRPr="0075350F" w:rsidRDefault="005217C1" w:rsidP="005217C1">
            <w:pPr>
              <w:rPr>
                <w:rFonts w:ascii="Arial" w:hAnsi="Arial" w:cs="Arial"/>
                <w:b/>
                <w:bCs/>
                <w:sz w:val="16"/>
                <w:szCs w:val="16"/>
              </w:rPr>
            </w:pPr>
            <w:r w:rsidRPr="0075350F">
              <w:rPr>
                <w:rFonts w:ascii="Arial" w:hAnsi="Arial" w:cs="Arial"/>
                <w:b/>
                <w:bCs/>
                <w:sz w:val="16"/>
                <w:szCs w:val="16"/>
              </w:rPr>
              <w:t>0.20</w:t>
            </w:r>
          </w:p>
        </w:tc>
        <w:tc>
          <w:tcPr>
            <w:tcW w:w="805" w:type="dxa"/>
            <w:shd w:val="clear" w:color="auto" w:fill="FFFFFF" w:themeFill="background1"/>
            <w:noWrap/>
            <w:hideMark/>
          </w:tcPr>
          <w:p w14:paraId="5FF793C8" w14:textId="77777777" w:rsidR="005217C1" w:rsidRPr="0075350F" w:rsidRDefault="005217C1" w:rsidP="005217C1">
            <w:pPr>
              <w:rPr>
                <w:rFonts w:ascii="Arial" w:hAnsi="Arial" w:cs="Arial"/>
                <w:b/>
                <w:sz w:val="16"/>
                <w:szCs w:val="16"/>
              </w:rPr>
            </w:pPr>
            <w:r w:rsidRPr="0075350F">
              <w:rPr>
                <w:rFonts w:ascii="Arial" w:hAnsi="Arial" w:cs="Arial"/>
                <w:b/>
                <w:sz w:val="16"/>
                <w:szCs w:val="16"/>
              </w:rPr>
              <w:t>0.04</w:t>
            </w:r>
          </w:p>
        </w:tc>
        <w:tc>
          <w:tcPr>
            <w:tcW w:w="746" w:type="dxa"/>
            <w:shd w:val="clear" w:color="auto" w:fill="FFFF00"/>
            <w:noWrap/>
            <w:hideMark/>
          </w:tcPr>
          <w:p w14:paraId="37ED4F4D" w14:textId="77777777" w:rsidR="005217C1" w:rsidRPr="0075350F" w:rsidRDefault="005217C1" w:rsidP="005217C1">
            <w:pPr>
              <w:rPr>
                <w:rFonts w:ascii="Arial" w:hAnsi="Arial" w:cs="Arial"/>
                <w:b/>
                <w:sz w:val="16"/>
                <w:szCs w:val="16"/>
              </w:rPr>
            </w:pPr>
            <w:r w:rsidRPr="0075350F">
              <w:rPr>
                <w:rFonts w:ascii="Arial" w:hAnsi="Arial" w:cs="Arial"/>
                <w:b/>
                <w:sz w:val="16"/>
                <w:szCs w:val="16"/>
              </w:rPr>
              <w:t>0.27</w:t>
            </w:r>
          </w:p>
        </w:tc>
        <w:tc>
          <w:tcPr>
            <w:tcW w:w="720" w:type="dxa"/>
            <w:shd w:val="clear" w:color="auto" w:fill="00B050"/>
            <w:noWrap/>
            <w:hideMark/>
          </w:tcPr>
          <w:p w14:paraId="2608092D" w14:textId="77777777" w:rsidR="005217C1" w:rsidRPr="0075350F" w:rsidRDefault="005217C1" w:rsidP="005217C1">
            <w:pPr>
              <w:rPr>
                <w:rFonts w:ascii="Arial" w:hAnsi="Arial" w:cs="Arial"/>
                <w:b/>
                <w:bCs/>
                <w:sz w:val="16"/>
                <w:szCs w:val="16"/>
              </w:rPr>
            </w:pPr>
            <w:r w:rsidRPr="0075350F">
              <w:rPr>
                <w:rFonts w:ascii="Arial" w:hAnsi="Arial" w:cs="Arial"/>
                <w:b/>
                <w:bCs/>
                <w:sz w:val="16"/>
                <w:szCs w:val="16"/>
              </w:rPr>
              <w:t>0.06</w:t>
            </w:r>
          </w:p>
        </w:tc>
      </w:tr>
      <w:tr w:rsidR="00F5057F" w:rsidRPr="00A50326" w14:paraId="16B87BE8" w14:textId="77777777" w:rsidTr="00F5057F">
        <w:trPr>
          <w:trHeight w:val="301"/>
        </w:trPr>
        <w:tc>
          <w:tcPr>
            <w:tcW w:w="1070" w:type="dxa"/>
            <w:vMerge/>
            <w:shd w:val="clear" w:color="auto" w:fill="D9D9D9" w:themeFill="background1" w:themeFillShade="D9"/>
            <w:hideMark/>
          </w:tcPr>
          <w:p w14:paraId="5A26BE16" w14:textId="77777777" w:rsidR="005217C1" w:rsidRPr="00A50326" w:rsidRDefault="005217C1" w:rsidP="005217C1">
            <w:pPr>
              <w:rPr>
                <w:rFonts w:ascii="Arial" w:hAnsi="Arial" w:cs="Arial"/>
                <w:b/>
                <w:sz w:val="16"/>
                <w:szCs w:val="16"/>
              </w:rPr>
            </w:pPr>
          </w:p>
        </w:tc>
        <w:tc>
          <w:tcPr>
            <w:tcW w:w="319" w:type="dxa"/>
            <w:shd w:val="clear" w:color="auto" w:fill="D9D9D9" w:themeFill="background1" w:themeFillShade="D9"/>
            <w:hideMark/>
          </w:tcPr>
          <w:p w14:paraId="1B5728C3" w14:textId="21450F4A" w:rsidR="005217C1" w:rsidRPr="00A50326" w:rsidRDefault="005217C1" w:rsidP="005217C1">
            <w:pPr>
              <w:rPr>
                <w:rFonts w:ascii="Arial" w:hAnsi="Arial" w:cs="Arial"/>
                <w:b/>
                <w:i/>
                <w:sz w:val="16"/>
                <w:szCs w:val="16"/>
              </w:rPr>
            </w:pPr>
            <w:r w:rsidRPr="00A50326">
              <w:rPr>
                <w:rFonts w:ascii="Arial" w:hAnsi="Arial" w:cs="Arial"/>
                <w:b/>
                <w:i/>
                <w:sz w:val="16"/>
                <w:szCs w:val="16"/>
              </w:rPr>
              <w:t>p</w:t>
            </w:r>
          </w:p>
        </w:tc>
        <w:tc>
          <w:tcPr>
            <w:tcW w:w="537" w:type="dxa"/>
            <w:shd w:val="clear" w:color="auto" w:fill="F2F2F2" w:themeFill="background1" w:themeFillShade="F2"/>
            <w:noWrap/>
            <w:hideMark/>
          </w:tcPr>
          <w:p w14:paraId="79C3815A" w14:textId="77777777" w:rsidR="005217C1" w:rsidRPr="006E1244" w:rsidRDefault="005217C1" w:rsidP="005217C1">
            <w:pPr>
              <w:rPr>
                <w:rFonts w:ascii="Arial" w:hAnsi="Arial" w:cs="Arial"/>
                <w:sz w:val="16"/>
                <w:szCs w:val="16"/>
              </w:rPr>
            </w:pPr>
            <w:r w:rsidRPr="006E1244">
              <w:rPr>
                <w:rFonts w:ascii="Arial" w:hAnsi="Arial" w:cs="Arial"/>
                <w:sz w:val="16"/>
                <w:szCs w:val="16"/>
              </w:rPr>
              <w:t>0.70</w:t>
            </w:r>
          </w:p>
        </w:tc>
        <w:tc>
          <w:tcPr>
            <w:tcW w:w="805" w:type="dxa"/>
            <w:shd w:val="clear" w:color="auto" w:fill="FFFFFF" w:themeFill="background1"/>
            <w:noWrap/>
            <w:hideMark/>
          </w:tcPr>
          <w:p w14:paraId="5C464298" w14:textId="77777777" w:rsidR="005217C1" w:rsidRPr="006E1244" w:rsidRDefault="005217C1" w:rsidP="005217C1">
            <w:pPr>
              <w:rPr>
                <w:rFonts w:ascii="Arial" w:hAnsi="Arial" w:cs="Arial"/>
                <w:sz w:val="16"/>
                <w:szCs w:val="16"/>
              </w:rPr>
            </w:pPr>
            <w:r w:rsidRPr="006E1244">
              <w:rPr>
                <w:rFonts w:ascii="Arial" w:hAnsi="Arial" w:cs="Arial"/>
                <w:sz w:val="16"/>
                <w:szCs w:val="16"/>
              </w:rPr>
              <w:t>0.53</w:t>
            </w:r>
          </w:p>
        </w:tc>
        <w:tc>
          <w:tcPr>
            <w:tcW w:w="634" w:type="dxa"/>
            <w:shd w:val="clear" w:color="auto" w:fill="00B050"/>
            <w:noWrap/>
            <w:hideMark/>
          </w:tcPr>
          <w:p w14:paraId="0E75A673" w14:textId="77777777" w:rsidR="005217C1" w:rsidRPr="006E1244" w:rsidRDefault="005217C1" w:rsidP="005217C1">
            <w:pPr>
              <w:rPr>
                <w:rFonts w:ascii="Arial" w:hAnsi="Arial" w:cs="Arial"/>
                <w:bCs/>
                <w:sz w:val="16"/>
                <w:szCs w:val="16"/>
              </w:rPr>
            </w:pPr>
            <w:r w:rsidRPr="006E1244">
              <w:rPr>
                <w:rFonts w:ascii="Arial" w:hAnsi="Arial" w:cs="Arial"/>
                <w:bCs/>
                <w:sz w:val="16"/>
                <w:szCs w:val="16"/>
              </w:rPr>
              <w:t>0.23</w:t>
            </w:r>
          </w:p>
        </w:tc>
        <w:tc>
          <w:tcPr>
            <w:tcW w:w="680" w:type="dxa"/>
            <w:shd w:val="clear" w:color="auto" w:fill="00B050"/>
            <w:noWrap/>
            <w:hideMark/>
          </w:tcPr>
          <w:p w14:paraId="527F4C76" w14:textId="77777777" w:rsidR="005217C1" w:rsidRPr="006E1244" w:rsidRDefault="005217C1" w:rsidP="005217C1">
            <w:pPr>
              <w:rPr>
                <w:rFonts w:ascii="Arial" w:hAnsi="Arial" w:cs="Arial"/>
                <w:bCs/>
                <w:sz w:val="16"/>
                <w:szCs w:val="16"/>
              </w:rPr>
            </w:pPr>
            <w:r w:rsidRPr="006E1244">
              <w:rPr>
                <w:rFonts w:ascii="Arial" w:hAnsi="Arial" w:cs="Arial"/>
                <w:bCs/>
                <w:sz w:val="16"/>
                <w:szCs w:val="16"/>
              </w:rPr>
              <w:t>0.38</w:t>
            </w:r>
          </w:p>
        </w:tc>
        <w:tc>
          <w:tcPr>
            <w:tcW w:w="693" w:type="dxa"/>
            <w:shd w:val="clear" w:color="auto" w:fill="FFFF00"/>
            <w:noWrap/>
            <w:hideMark/>
          </w:tcPr>
          <w:p w14:paraId="78A53E07" w14:textId="77777777" w:rsidR="005217C1" w:rsidRPr="006E1244" w:rsidRDefault="005217C1" w:rsidP="005217C1">
            <w:pPr>
              <w:rPr>
                <w:rFonts w:ascii="Arial" w:hAnsi="Arial" w:cs="Arial"/>
                <w:sz w:val="16"/>
                <w:szCs w:val="16"/>
              </w:rPr>
            </w:pPr>
            <w:r w:rsidRPr="006E1244">
              <w:rPr>
                <w:rFonts w:ascii="Arial" w:hAnsi="Arial" w:cs="Arial"/>
                <w:sz w:val="16"/>
                <w:szCs w:val="16"/>
              </w:rPr>
              <w:t>0.78</w:t>
            </w:r>
          </w:p>
        </w:tc>
        <w:tc>
          <w:tcPr>
            <w:tcW w:w="893" w:type="dxa"/>
            <w:shd w:val="clear" w:color="auto" w:fill="FFFF00"/>
            <w:noWrap/>
            <w:hideMark/>
          </w:tcPr>
          <w:p w14:paraId="764999B6" w14:textId="77777777" w:rsidR="005217C1" w:rsidRPr="006E1244" w:rsidRDefault="005217C1" w:rsidP="005217C1">
            <w:pPr>
              <w:rPr>
                <w:rFonts w:ascii="Arial" w:hAnsi="Arial" w:cs="Arial"/>
                <w:sz w:val="16"/>
                <w:szCs w:val="16"/>
              </w:rPr>
            </w:pPr>
            <w:r w:rsidRPr="006E1244">
              <w:rPr>
                <w:rFonts w:ascii="Arial" w:hAnsi="Arial" w:cs="Arial"/>
                <w:sz w:val="16"/>
                <w:szCs w:val="16"/>
              </w:rPr>
              <w:t>0.88</w:t>
            </w:r>
          </w:p>
        </w:tc>
        <w:tc>
          <w:tcPr>
            <w:tcW w:w="677" w:type="dxa"/>
            <w:shd w:val="clear" w:color="auto" w:fill="FFFF00"/>
            <w:noWrap/>
            <w:hideMark/>
          </w:tcPr>
          <w:p w14:paraId="009ACF09" w14:textId="77777777" w:rsidR="005217C1" w:rsidRPr="006E1244" w:rsidRDefault="005217C1" w:rsidP="005217C1">
            <w:pPr>
              <w:rPr>
                <w:rFonts w:ascii="Arial" w:hAnsi="Arial" w:cs="Arial"/>
                <w:sz w:val="16"/>
                <w:szCs w:val="16"/>
              </w:rPr>
            </w:pPr>
            <w:r w:rsidRPr="006E1244">
              <w:rPr>
                <w:rFonts w:ascii="Arial" w:hAnsi="Arial" w:cs="Arial"/>
                <w:sz w:val="16"/>
                <w:szCs w:val="16"/>
              </w:rPr>
              <w:t>0.92</w:t>
            </w:r>
          </w:p>
        </w:tc>
        <w:tc>
          <w:tcPr>
            <w:tcW w:w="842" w:type="dxa"/>
            <w:shd w:val="clear" w:color="auto" w:fill="00B050"/>
            <w:noWrap/>
            <w:hideMark/>
          </w:tcPr>
          <w:p w14:paraId="4E053FBF" w14:textId="77777777" w:rsidR="005217C1" w:rsidRPr="006E1244" w:rsidRDefault="005217C1" w:rsidP="005217C1">
            <w:pPr>
              <w:rPr>
                <w:rFonts w:ascii="Arial" w:hAnsi="Arial" w:cs="Arial"/>
                <w:bCs/>
                <w:sz w:val="16"/>
                <w:szCs w:val="16"/>
              </w:rPr>
            </w:pPr>
            <w:r w:rsidRPr="006E1244">
              <w:rPr>
                <w:rFonts w:ascii="Arial" w:hAnsi="Arial" w:cs="Arial"/>
                <w:bCs/>
                <w:sz w:val="16"/>
                <w:szCs w:val="16"/>
              </w:rPr>
              <w:t>0.21</w:t>
            </w:r>
          </w:p>
        </w:tc>
        <w:tc>
          <w:tcPr>
            <w:tcW w:w="805" w:type="dxa"/>
            <w:shd w:val="clear" w:color="auto" w:fill="FFFFFF" w:themeFill="background1"/>
            <w:noWrap/>
            <w:hideMark/>
          </w:tcPr>
          <w:p w14:paraId="3A6B540F" w14:textId="77777777" w:rsidR="005217C1" w:rsidRPr="006E1244" w:rsidRDefault="005217C1" w:rsidP="005217C1">
            <w:pPr>
              <w:rPr>
                <w:rFonts w:ascii="Arial" w:hAnsi="Arial" w:cs="Arial"/>
                <w:sz w:val="16"/>
                <w:szCs w:val="16"/>
              </w:rPr>
            </w:pPr>
            <w:r w:rsidRPr="006E1244">
              <w:rPr>
                <w:rFonts w:ascii="Arial" w:hAnsi="Arial" w:cs="Arial"/>
                <w:sz w:val="16"/>
                <w:szCs w:val="16"/>
              </w:rPr>
              <w:t>0.77</w:t>
            </w:r>
          </w:p>
        </w:tc>
        <w:tc>
          <w:tcPr>
            <w:tcW w:w="746" w:type="dxa"/>
            <w:shd w:val="clear" w:color="auto" w:fill="FFFF00"/>
            <w:noWrap/>
            <w:hideMark/>
          </w:tcPr>
          <w:p w14:paraId="4284A84E" w14:textId="77777777" w:rsidR="005217C1" w:rsidRPr="006E1244" w:rsidRDefault="005217C1" w:rsidP="005217C1">
            <w:pPr>
              <w:rPr>
                <w:rFonts w:ascii="Arial" w:hAnsi="Arial" w:cs="Arial"/>
                <w:sz w:val="16"/>
                <w:szCs w:val="16"/>
              </w:rPr>
            </w:pPr>
            <w:r w:rsidRPr="006E1244">
              <w:rPr>
                <w:rFonts w:ascii="Arial" w:hAnsi="Arial" w:cs="Arial"/>
                <w:sz w:val="16"/>
                <w:szCs w:val="16"/>
              </w:rPr>
              <w:t>0.08</w:t>
            </w:r>
          </w:p>
        </w:tc>
        <w:tc>
          <w:tcPr>
            <w:tcW w:w="720" w:type="dxa"/>
            <w:shd w:val="clear" w:color="auto" w:fill="00B050"/>
            <w:noWrap/>
            <w:hideMark/>
          </w:tcPr>
          <w:p w14:paraId="76397E8A" w14:textId="77777777" w:rsidR="005217C1" w:rsidRPr="006E1244" w:rsidRDefault="005217C1" w:rsidP="005217C1">
            <w:pPr>
              <w:rPr>
                <w:rFonts w:ascii="Arial" w:hAnsi="Arial" w:cs="Arial"/>
                <w:bCs/>
                <w:sz w:val="16"/>
                <w:szCs w:val="16"/>
              </w:rPr>
            </w:pPr>
            <w:r w:rsidRPr="006E1244">
              <w:rPr>
                <w:rFonts w:ascii="Arial" w:hAnsi="Arial" w:cs="Arial"/>
                <w:bCs/>
                <w:sz w:val="16"/>
                <w:szCs w:val="16"/>
              </w:rPr>
              <w:t>0.69</w:t>
            </w:r>
          </w:p>
        </w:tc>
      </w:tr>
    </w:tbl>
    <w:p w14:paraId="7307F758" w14:textId="77777777" w:rsidR="005217C1" w:rsidRPr="00A50326" w:rsidRDefault="005217C1" w:rsidP="009B107D">
      <w:pPr>
        <w:spacing w:after="0" w:line="240" w:lineRule="auto"/>
        <w:rPr>
          <w:rFonts w:ascii="Times New Roman" w:hAnsi="Times New Roman" w:cs="Times New Roman"/>
          <w:b/>
          <w:i/>
          <w:sz w:val="24"/>
          <w:szCs w:val="24"/>
        </w:rPr>
      </w:pPr>
    </w:p>
    <w:p w14:paraId="47276480" w14:textId="2A2939F4" w:rsidR="00D81C8E" w:rsidRPr="00384060" w:rsidRDefault="00D81C8E" w:rsidP="00D81C8E">
      <w:pPr>
        <w:spacing w:after="0" w:line="240" w:lineRule="auto"/>
        <w:rPr>
          <w:rFonts w:ascii="Times New Roman" w:hAnsi="Times New Roman" w:cs="Times New Roman"/>
          <w:i/>
          <w:sz w:val="24"/>
          <w:szCs w:val="24"/>
        </w:rPr>
      </w:pPr>
      <w:r w:rsidRPr="00384060">
        <w:rPr>
          <w:rFonts w:ascii="Times New Roman" w:hAnsi="Times New Roman" w:cs="Times New Roman"/>
          <w:i/>
          <w:sz w:val="24"/>
          <w:szCs w:val="24"/>
        </w:rPr>
        <w:t>Budget and Expenditures</w:t>
      </w:r>
    </w:p>
    <w:p w14:paraId="23D306BE" w14:textId="72894EC4" w:rsidR="00BD2EA6" w:rsidRPr="00384060" w:rsidRDefault="00294E33" w:rsidP="00D81C8E">
      <w:pPr>
        <w:spacing w:after="0" w:line="240" w:lineRule="auto"/>
        <w:rPr>
          <w:rFonts w:ascii="Times New Roman" w:hAnsi="Times New Roman" w:cs="Times New Roman"/>
          <w:sz w:val="24"/>
          <w:szCs w:val="24"/>
        </w:rPr>
      </w:pPr>
      <w:r w:rsidRPr="00384060">
        <w:rPr>
          <w:rFonts w:ascii="Times New Roman" w:hAnsi="Times New Roman" w:cs="Times New Roman"/>
          <w:sz w:val="24"/>
          <w:szCs w:val="24"/>
        </w:rPr>
        <w:t xml:space="preserve">We were originally awarded $13,000 for participant remuneration, personnel, and equipment and supplies. </w:t>
      </w:r>
      <w:r w:rsidR="00630C1D" w:rsidRPr="00384060">
        <w:rPr>
          <w:rFonts w:ascii="Times New Roman" w:hAnsi="Times New Roman" w:cs="Times New Roman"/>
          <w:sz w:val="24"/>
          <w:szCs w:val="24"/>
        </w:rPr>
        <w:t>We requested and were granted budget revisions in Spring 2019.</w:t>
      </w:r>
      <w:r w:rsidR="00075653" w:rsidRPr="00384060">
        <w:rPr>
          <w:rFonts w:ascii="Times New Roman" w:hAnsi="Times New Roman" w:cs="Times New Roman"/>
          <w:sz w:val="24"/>
          <w:szCs w:val="24"/>
        </w:rPr>
        <w:t xml:space="preserve"> Amounts spent in each major category appear in the table below.</w:t>
      </w:r>
    </w:p>
    <w:p w14:paraId="0814A80C" w14:textId="1B7F8E95" w:rsidR="00630C1D" w:rsidRDefault="00630C1D" w:rsidP="00D81C8E">
      <w:pPr>
        <w:spacing w:after="0" w:line="240" w:lineRule="auto"/>
        <w:rPr>
          <w:rFonts w:ascii="Calibri" w:eastAsia="Times New Roman" w:hAnsi="Calibri" w:cs="Calibri"/>
          <w:i/>
          <w:iCs/>
          <w:color w:val="000000"/>
          <w:sz w:val="18"/>
          <w:szCs w:val="18"/>
        </w:rPr>
      </w:pPr>
    </w:p>
    <w:tbl>
      <w:tblPr>
        <w:tblW w:w="5000" w:type="pct"/>
        <w:tblLayout w:type="fixed"/>
        <w:tblLook w:val="04A0" w:firstRow="1" w:lastRow="0" w:firstColumn="1" w:lastColumn="0" w:noHBand="0" w:noVBand="1"/>
      </w:tblPr>
      <w:tblGrid>
        <w:gridCol w:w="1789"/>
        <w:gridCol w:w="1067"/>
        <w:gridCol w:w="1115"/>
        <w:gridCol w:w="2066"/>
        <w:gridCol w:w="2053"/>
        <w:gridCol w:w="1250"/>
      </w:tblGrid>
      <w:tr w:rsidR="00067494" w:rsidRPr="00067494" w14:paraId="36C20F8F" w14:textId="77777777" w:rsidTr="00067494">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000000" w:fill="E7E6E6"/>
            <w:vAlign w:val="center"/>
            <w:hideMark/>
          </w:tcPr>
          <w:p w14:paraId="433DD931"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Final Report: Amount Spent</w:t>
            </w:r>
          </w:p>
        </w:tc>
      </w:tr>
      <w:tr w:rsidR="00067494" w:rsidRPr="00067494" w14:paraId="357D1260" w14:textId="77777777" w:rsidTr="00067494">
        <w:trPr>
          <w:trHeight w:val="3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4DDBA3DC"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Expense</w:t>
            </w:r>
          </w:p>
        </w:tc>
        <w:tc>
          <w:tcPr>
            <w:tcW w:w="571" w:type="pct"/>
            <w:tcBorders>
              <w:top w:val="nil"/>
              <w:left w:val="nil"/>
              <w:bottom w:val="single" w:sz="8" w:space="0" w:color="auto"/>
              <w:right w:val="single" w:sz="8" w:space="0" w:color="auto"/>
            </w:tcBorders>
            <w:shd w:val="clear" w:color="auto" w:fill="auto"/>
            <w:noWrap/>
            <w:vAlign w:val="center"/>
            <w:hideMark/>
          </w:tcPr>
          <w:p w14:paraId="7E2A10A0"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Quantity</w:t>
            </w:r>
          </w:p>
        </w:tc>
        <w:tc>
          <w:tcPr>
            <w:tcW w:w="597" w:type="pct"/>
            <w:tcBorders>
              <w:top w:val="nil"/>
              <w:left w:val="nil"/>
              <w:bottom w:val="single" w:sz="8" w:space="0" w:color="auto"/>
              <w:right w:val="single" w:sz="8" w:space="0" w:color="auto"/>
            </w:tcBorders>
            <w:shd w:val="clear" w:color="auto" w:fill="auto"/>
            <w:noWrap/>
            <w:vAlign w:val="center"/>
            <w:hideMark/>
          </w:tcPr>
          <w:p w14:paraId="2ECCC4EF"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Cost per 1</w:t>
            </w:r>
          </w:p>
        </w:tc>
        <w:tc>
          <w:tcPr>
            <w:tcW w:w="1106" w:type="pct"/>
            <w:tcBorders>
              <w:top w:val="nil"/>
              <w:left w:val="nil"/>
              <w:bottom w:val="single" w:sz="8" w:space="0" w:color="auto"/>
              <w:right w:val="single" w:sz="8" w:space="0" w:color="auto"/>
            </w:tcBorders>
            <w:shd w:val="clear" w:color="auto" w:fill="auto"/>
            <w:noWrap/>
            <w:vAlign w:val="center"/>
            <w:hideMark/>
          </w:tcPr>
          <w:p w14:paraId="00ABD394"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Estimated Cost</w:t>
            </w:r>
          </w:p>
        </w:tc>
        <w:tc>
          <w:tcPr>
            <w:tcW w:w="1099" w:type="pct"/>
            <w:tcBorders>
              <w:top w:val="nil"/>
              <w:left w:val="nil"/>
              <w:bottom w:val="single" w:sz="8" w:space="0" w:color="auto"/>
              <w:right w:val="single" w:sz="8" w:space="0" w:color="auto"/>
            </w:tcBorders>
            <w:shd w:val="clear" w:color="auto" w:fill="auto"/>
            <w:vAlign w:val="center"/>
            <w:hideMark/>
          </w:tcPr>
          <w:p w14:paraId="5AE08492"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Amount Spent</w:t>
            </w:r>
          </w:p>
        </w:tc>
        <w:tc>
          <w:tcPr>
            <w:tcW w:w="669" w:type="pct"/>
            <w:tcBorders>
              <w:top w:val="nil"/>
              <w:left w:val="nil"/>
              <w:bottom w:val="single" w:sz="8" w:space="0" w:color="auto"/>
              <w:right w:val="single" w:sz="8" w:space="0" w:color="auto"/>
            </w:tcBorders>
            <w:shd w:val="clear" w:color="auto" w:fill="auto"/>
            <w:vAlign w:val="center"/>
            <w:hideMark/>
          </w:tcPr>
          <w:p w14:paraId="724AAA88"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Notes</w:t>
            </w:r>
          </w:p>
        </w:tc>
      </w:tr>
      <w:tr w:rsidR="00067494" w:rsidRPr="00067494" w14:paraId="3030A10B" w14:textId="77777777" w:rsidTr="00067494">
        <w:trPr>
          <w:trHeight w:val="3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1A36C72B"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Participant remuneration</w:t>
            </w:r>
          </w:p>
        </w:tc>
        <w:tc>
          <w:tcPr>
            <w:tcW w:w="571" w:type="pct"/>
            <w:tcBorders>
              <w:top w:val="nil"/>
              <w:left w:val="nil"/>
              <w:bottom w:val="single" w:sz="8" w:space="0" w:color="auto"/>
              <w:right w:val="single" w:sz="8" w:space="0" w:color="auto"/>
            </w:tcBorders>
            <w:shd w:val="clear" w:color="auto" w:fill="auto"/>
            <w:noWrap/>
            <w:vAlign w:val="center"/>
            <w:hideMark/>
          </w:tcPr>
          <w:p w14:paraId="42836B60"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50.00 </w:t>
            </w:r>
          </w:p>
        </w:tc>
        <w:tc>
          <w:tcPr>
            <w:tcW w:w="597" w:type="pct"/>
            <w:tcBorders>
              <w:top w:val="nil"/>
              <w:left w:val="nil"/>
              <w:bottom w:val="single" w:sz="8" w:space="0" w:color="auto"/>
              <w:right w:val="single" w:sz="8" w:space="0" w:color="auto"/>
            </w:tcBorders>
            <w:shd w:val="clear" w:color="auto" w:fill="auto"/>
            <w:noWrap/>
            <w:vAlign w:val="center"/>
            <w:hideMark/>
          </w:tcPr>
          <w:p w14:paraId="46BB28E7"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50.00 </w:t>
            </w:r>
          </w:p>
        </w:tc>
        <w:tc>
          <w:tcPr>
            <w:tcW w:w="1106" w:type="pct"/>
            <w:tcBorders>
              <w:top w:val="nil"/>
              <w:left w:val="nil"/>
              <w:bottom w:val="single" w:sz="8" w:space="0" w:color="auto"/>
              <w:right w:val="single" w:sz="8" w:space="0" w:color="auto"/>
            </w:tcBorders>
            <w:shd w:val="clear" w:color="auto" w:fill="auto"/>
            <w:noWrap/>
            <w:vAlign w:val="center"/>
            <w:hideMark/>
          </w:tcPr>
          <w:p w14:paraId="151CF665"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2,500.00 </w:t>
            </w:r>
          </w:p>
        </w:tc>
        <w:tc>
          <w:tcPr>
            <w:tcW w:w="1099" w:type="pct"/>
            <w:tcBorders>
              <w:top w:val="nil"/>
              <w:left w:val="nil"/>
              <w:bottom w:val="single" w:sz="8" w:space="0" w:color="auto"/>
              <w:right w:val="single" w:sz="8" w:space="0" w:color="auto"/>
            </w:tcBorders>
            <w:shd w:val="clear" w:color="000000" w:fill="FFFF00"/>
            <w:vAlign w:val="center"/>
            <w:hideMark/>
          </w:tcPr>
          <w:p w14:paraId="13253751"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250.00 </w:t>
            </w:r>
          </w:p>
        </w:tc>
        <w:tc>
          <w:tcPr>
            <w:tcW w:w="669" w:type="pct"/>
            <w:tcBorders>
              <w:top w:val="nil"/>
              <w:left w:val="nil"/>
              <w:bottom w:val="nil"/>
              <w:right w:val="single" w:sz="8" w:space="0" w:color="auto"/>
            </w:tcBorders>
            <w:shd w:val="clear" w:color="auto" w:fill="auto"/>
            <w:noWrap/>
            <w:vAlign w:val="bottom"/>
            <w:hideMark/>
          </w:tcPr>
          <w:p w14:paraId="15C7E1DD" w14:textId="77777777" w:rsidR="00067494" w:rsidRPr="00067494" w:rsidRDefault="00067494" w:rsidP="00067494">
            <w:pPr>
              <w:spacing w:after="0" w:line="240" w:lineRule="auto"/>
              <w:rPr>
                <w:rFonts w:ascii="Calibri" w:eastAsia="Times New Roman" w:hAnsi="Calibri" w:cs="Calibri"/>
                <w:color w:val="000000"/>
              </w:rPr>
            </w:pPr>
            <w:r w:rsidRPr="00067494">
              <w:rPr>
                <w:rFonts w:ascii="Calibri" w:eastAsia="Times New Roman" w:hAnsi="Calibri" w:cs="Calibri"/>
                <w:color w:val="000000"/>
              </w:rPr>
              <w:t> </w:t>
            </w:r>
          </w:p>
        </w:tc>
      </w:tr>
      <w:tr w:rsidR="00067494" w:rsidRPr="00067494" w14:paraId="716AE1A3" w14:textId="77777777" w:rsidTr="00067494">
        <w:trPr>
          <w:trHeight w:val="3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549F00F5"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Personnel</w:t>
            </w:r>
          </w:p>
        </w:tc>
        <w:tc>
          <w:tcPr>
            <w:tcW w:w="571" w:type="pct"/>
            <w:tcBorders>
              <w:top w:val="nil"/>
              <w:left w:val="nil"/>
              <w:bottom w:val="single" w:sz="8" w:space="0" w:color="auto"/>
              <w:right w:val="single" w:sz="8" w:space="0" w:color="auto"/>
            </w:tcBorders>
            <w:shd w:val="clear" w:color="000000" w:fill="D0CECE"/>
            <w:noWrap/>
            <w:vAlign w:val="center"/>
            <w:hideMark/>
          </w:tcPr>
          <w:p w14:paraId="72F4884C"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597" w:type="pct"/>
            <w:tcBorders>
              <w:top w:val="nil"/>
              <w:left w:val="nil"/>
              <w:bottom w:val="single" w:sz="8" w:space="0" w:color="auto"/>
              <w:right w:val="single" w:sz="8" w:space="0" w:color="auto"/>
            </w:tcBorders>
            <w:shd w:val="clear" w:color="000000" w:fill="D0CECE"/>
            <w:noWrap/>
            <w:vAlign w:val="center"/>
            <w:hideMark/>
          </w:tcPr>
          <w:p w14:paraId="2A1DCEE3"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106" w:type="pct"/>
            <w:tcBorders>
              <w:top w:val="nil"/>
              <w:left w:val="nil"/>
              <w:bottom w:val="single" w:sz="8" w:space="0" w:color="auto"/>
              <w:right w:val="single" w:sz="8" w:space="0" w:color="auto"/>
            </w:tcBorders>
            <w:shd w:val="clear" w:color="000000" w:fill="D0CECE"/>
            <w:noWrap/>
            <w:vAlign w:val="center"/>
            <w:hideMark/>
          </w:tcPr>
          <w:p w14:paraId="549696EE"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099" w:type="pct"/>
            <w:tcBorders>
              <w:top w:val="nil"/>
              <w:left w:val="nil"/>
              <w:bottom w:val="single" w:sz="8" w:space="0" w:color="auto"/>
              <w:right w:val="single" w:sz="8" w:space="0" w:color="auto"/>
            </w:tcBorders>
            <w:shd w:val="clear" w:color="000000" w:fill="BFBFBF"/>
            <w:vAlign w:val="center"/>
            <w:hideMark/>
          </w:tcPr>
          <w:p w14:paraId="302918B4"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669" w:type="pct"/>
            <w:tcBorders>
              <w:top w:val="nil"/>
              <w:left w:val="nil"/>
              <w:bottom w:val="nil"/>
              <w:right w:val="single" w:sz="8" w:space="0" w:color="auto"/>
            </w:tcBorders>
            <w:shd w:val="clear" w:color="auto" w:fill="auto"/>
            <w:noWrap/>
            <w:vAlign w:val="bottom"/>
            <w:hideMark/>
          </w:tcPr>
          <w:p w14:paraId="33A58EFA" w14:textId="77777777" w:rsidR="00067494" w:rsidRPr="00067494" w:rsidRDefault="00067494" w:rsidP="00067494">
            <w:pPr>
              <w:spacing w:after="0" w:line="240" w:lineRule="auto"/>
              <w:rPr>
                <w:rFonts w:ascii="Calibri" w:eastAsia="Times New Roman" w:hAnsi="Calibri" w:cs="Calibri"/>
                <w:color w:val="000000"/>
              </w:rPr>
            </w:pPr>
            <w:r w:rsidRPr="00067494">
              <w:rPr>
                <w:rFonts w:ascii="Calibri" w:eastAsia="Times New Roman" w:hAnsi="Calibri" w:cs="Calibri"/>
                <w:color w:val="000000"/>
              </w:rPr>
              <w:t> </w:t>
            </w:r>
          </w:p>
        </w:tc>
      </w:tr>
      <w:tr w:rsidR="00067494" w:rsidRPr="00067494" w14:paraId="2DAF4154" w14:textId="77777777" w:rsidTr="00067494">
        <w:trPr>
          <w:trHeight w:val="79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2C5F1BBC"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Graduate Research Assistants (Salary + Fringe Benefits for 3 semesters)</w:t>
            </w:r>
          </w:p>
        </w:tc>
        <w:tc>
          <w:tcPr>
            <w:tcW w:w="571" w:type="pct"/>
            <w:tcBorders>
              <w:top w:val="nil"/>
              <w:left w:val="nil"/>
              <w:bottom w:val="single" w:sz="8" w:space="0" w:color="auto"/>
              <w:right w:val="single" w:sz="8" w:space="0" w:color="auto"/>
            </w:tcBorders>
            <w:shd w:val="clear" w:color="000000" w:fill="D0CECE"/>
            <w:noWrap/>
            <w:vAlign w:val="center"/>
            <w:hideMark/>
          </w:tcPr>
          <w:p w14:paraId="57B7B5F7"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597" w:type="pct"/>
            <w:tcBorders>
              <w:top w:val="nil"/>
              <w:left w:val="nil"/>
              <w:bottom w:val="single" w:sz="8" w:space="0" w:color="auto"/>
              <w:right w:val="single" w:sz="8" w:space="0" w:color="auto"/>
            </w:tcBorders>
            <w:shd w:val="clear" w:color="000000" w:fill="D0CECE"/>
            <w:noWrap/>
            <w:vAlign w:val="center"/>
            <w:hideMark/>
          </w:tcPr>
          <w:p w14:paraId="3DCCA730"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106" w:type="pct"/>
            <w:tcBorders>
              <w:top w:val="nil"/>
              <w:left w:val="nil"/>
              <w:bottom w:val="single" w:sz="8" w:space="0" w:color="auto"/>
              <w:right w:val="single" w:sz="8" w:space="0" w:color="auto"/>
            </w:tcBorders>
            <w:shd w:val="clear" w:color="auto" w:fill="auto"/>
            <w:noWrap/>
            <w:vAlign w:val="center"/>
            <w:hideMark/>
          </w:tcPr>
          <w:p w14:paraId="6F36A9D6"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6,376.50 </w:t>
            </w:r>
          </w:p>
        </w:tc>
        <w:tc>
          <w:tcPr>
            <w:tcW w:w="1099" w:type="pct"/>
            <w:tcBorders>
              <w:top w:val="nil"/>
              <w:left w:val="nil"/>
              <w:bottom w:val="single" w:sz="8" w:space="0" w:color="auto"/>
              <w:right w:val="single" w:sz="8" w:space="0" w:color="auto"/>
            </w:tcBorders>
            <w:shd w:val="clear" w:color="000000" w:fill="FFFF00"/>
            <w:vAlign w:val="center"/>
            <w:hideMark/>
          </w:tcPr>
          <w:p w14:paraId="1F1E68EF"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5,295.90 </w:t>
            </w:r>
          </w:p>
        </w:tc>
        <w:tc>
          <w:tcPr>
            <w:tcW w:w="669" w:type="pct"/>
            <w:tcBorders>
              <w:top w:val="nil"/>
              <w:left w:val="nil"/>
              <w:bottom w:val="nil"/>
              <w:right w:val="single" w:sz="8" w:space="0" w:color="auto"/>
            </w:tcBorders>
            <w:shd w:val="clear" w:color="auto" w:fill="auto"/>
            <w:noWrap/>
            <w:vAlign w:val="bottom"/>
            <w:hideMark/>
          </w:tcPr>
          <w:p w14:paraId="6CAC6BC4" w14:textId="77777777" w:rsidR="00067494" w:rsidRPr="00067494" w:rsidRDefault="00067494" w:rsidP="00067494">
            <w:pPr>
              <w:spacing w:after="0" w:line="240" w:lineRule="auto"/>
              <w:rPr>
                <w:rFonts w:ascii="Calibri" w:eastAsia="Times New Roman" w:hAnsi="Calibri" w:cs="Calibri"/>
                <w:color w:val="000000"/>
              </w:rPr>
            </w:pPr>
            <w:r w:rsidRPr="00067494">
              <w:rPr>
                <w:rFonts w:ascii="Calibri" w:eastAsia="Times New Roman" w:hAnsi="Calibri" w:cs="Calibri"/>
                <w:color w:val="000000"/>
              </w:rPr>
              <w:t> </w:t>
            </w:r>
          </w:p>
        </w:tc>
      </w:tr>
      <w:tr w:rsidR="00067494" w:rsidRPr="00067494" w14:paraId="726B8C72" w14:textId="77777777" w:rsidTr="00067494">
        <w:trPr>
          <w:trHeight w:val="3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376A088F"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Supplies &amp; Equipment</w:t>
            </w:r>
          </w:p>
        </w:tc>
        <w:tc>
          <w:tcPr>
            <w:tcW w:w="571" w:type="pct"/>
            <w:tcBorders>
              <w:top w:val="nil"/>
              <w:left w:val="nil"/>
              <w:bottom w:val="single" w:sz="8" w:space="0" w:color="auto"/>
              <w:right w:val="single" w:sz="8" w:space="0" w:color="auto"/>
            </w:tcBorders>
            <w:shd w:val="clear" w:color="000000" w:fill="D0CECE"/>
            <w:noWrap/>
            <w:vAlign w:val="center"/>
            <w:hideMark/>
          </w:tcPr>
          <w:p w14:paraId="79D73601"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597" w:type="pct"/>
            <w:tcBorders>
              <w:top w:val="nil"/>
              <w:left w:val="nil"/>
              <w:bottom w:val="single" w:sz="8" w:space="0" w:color="auto"/>
              <w:right w:val="single" w:sz="8" w:space="0" w:color="auto"/>
            </w:tcBorders>
            <w:shd w:val="clear" w:color="000000" w:fill="D0CECE"/>
            <w:noWrap/>
            <w:vAlign w:val="center"/>
            <w:hideMark/>
          </w:tcPr>
          <w:p w14:paraId="503FBF52"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106" w:type="pct"/>
            <w:tcBorders>
              <w:top w:val="nil"/>
              <w:left w:val="nil"/>
              <w:bottom w:val="single" w:sz="8" w:space="0" w:color="auto"/>
              <w:right w:val="single" w:sz="8" w:space="0" w:color="auto"/>
            </w:tcBorders>
            <w:shd w:val="clear" w:color="000000" w:fill="D0CECE"/>
            <w:noWrap/>
            <w:vAlign w:val="center"/>
            <w:hideMark/>
          </w:tcPr>
          <w:p w14:paraId="389B897A"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099" w:type="pct"/>
            <w:tcBorders>
              <w:top w:val="nil"/>
              <w:left w:val="nil"/>
              <w:bottom w:val="single" w:sz="8" w:space="0" w:color="auto"/>
              <w:right w:val="single" w:sz="8" w:space="0" w:color="auto"/>
            </w:tcBorders>
            <w:shd w:val="clear" w:color="000000" w:fill="BFBFBF"/>
            <w:vAlign w:val="center"/>
            <w:hideMark/>
          </w:tcPr>
          <w:p w14:paraId="41F5DB3F"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669" w:type="pct"/>
            <w:tcBorders>
              <w:top w:val="nil"/>
              <w:left w:val="nil"/>
              <w:bottom w:val="nil"/>
              <w:right w:val="single" w:sz="8" w:space="0" w:color="auto"/>
            </w:tcBorders>
            <w:shd w:val="clear" w:color="auto" w:fill="auto"/>
            <w:noWrap/>
            <w:vAlign w:val="bottom"/>
            <w:hideMark/>
          </w:tcPr>
          <w:p w14:paraId="0FE8D622" w14:textId="77777777" w:rsidR="00067494" w:rsidRPr="00067494" w:rsidRDefault="00067494" w:rsidP="00067494">
            <w:pPr>
              <w:spacing w:after="0" w:line="240" w:lineRule="auto"/>
              <w:rPr>
                <w:rFonts w:ascii="Calibri" w:eastAsia="Times New Roman" w:hAnsi="Calibri" w:cs="Calibri"/>
                <w:color w:val="000000"/>
              </w:rPr>
            </w:pPr>
            <w:r w:rsidRPr="00067494">
              <w:rPr>
                <w:rFonts w:ascii="Calibri" w:eastAsia="Times New Roman" w:hAnsi="Calibri" w:cs="Calibri"/>
                <w:color w:val="000000"/>
              </w:rPr>
              <w:t> </w:t>
            </w:r>
          </w:p>
        </w:tc>
      </w:tr>
      <w:tr w:rsidR="00067494" w:rsidRPr="00067494" w14:paraId="55D5CF03" w14:textId="77777777" w:rsidTr="00067494">
        <w:trPr>
          <w:trHeight w:val="53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22F7F72A"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BRIEF-Adult PAR (per participant)</w:t>
            </w:r>
          </w:p>
        </w:tc>
        <w:tc>
          <w:tcPr>
            <w:tcW w:w="571" w:type="pct"/>
            <w:tcBorders>
              <w:top w:val="nil"/>
              <w:left w:val="nil"/>
              <w:bottom w:val="single" w:sz="8" w:space="0" w:color="auto"/>
              <w:right w:val="single" w:sz="8" w:space="0" w:color="auto"/>
            </w:tcBorders>
            <w:shd w:val="clear" w:color="auto" w:fill="auto"/>
            <w:noWrap/>
            <w:vAlign w:val="center"/>
            <w:hideMark/>
          </w:tcPr>
          <w:p w14:paraId="1DD1C294"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199.00 </w:t>
            </w:r>
          </w:p>
        </w:tc>
        <w:tc>
          <w:tcPr>
            <w:tcW w:w="597" w:type="pct"/>
            <w:tcBorders>
              <w:top w:val="nil"/>
              <w:left w:val="nil"/>
              <w:bottom w:val="single" w:sz="8" w:space="0" w:color="auto"/>
              <w:right w:val="single" w:sz="8" w:space="0" w:color="auto"/>
            </w:tcBorders>
            <w:shd w:val="clear" w:color="auto" w:fill="auto"/>
            <w:noWrap/>
            <w:vAlign w:val="center"/>
            <w:hideMark/>
          </w:tcPr>
          <w:p w14:paraId="132263B6"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4.90 </w:t>
            </w:r>
          </w:p>
        </w:tc>
        <w:tc>
          <w:tcPr>
            <w:tcW w:w="1106" w:type="pct"/>
            <w:tcBorders>
              <w:top w:val="nil"/>
              <w:left w:val="nil"/>
              <w:bottom w:val="single" w:sz="8" w:space="0" w:color="auto"/>
              <w:right w:val="single" w:sz="8" w:space="0" w:color="auto"/>
            </w:tcBorders>
            <w:shd w:val="clear" w:color="auto" w:fill="auto"/>
            <w:noWrap/>
            <w:vAlign w:val="center"/>
            <w:hideMark/>
          </w:tcPr>
          <w:p w14:paraId="2957FC95"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975.10 </w:t>
            </w:r>
          </w:p>
        </w:tc>
        <w:tc>
          <w:tcPr>
            <w:tcW w:w="1099" w:type="pct"/>
            <w:tcBorders>
              <w:top w:val="nil"/>
              <w:left w:val="nil"/>
              <w:bottom w:val="single" w:sz="8" w:space="0" w:color="auto"/>
              <w:right w:val="single" w:sz="8" w:space="0" w:color="auto"/>
            </w:tcBorders>
            <w:shd w:val="clear" w:color="000000" w:fill="FFFF00"/>
            <w:vAlign w:val="center"/>
            <w:hideMark/>
          </w:tcPr>
          <w:p w14:paraId="2F81B433"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465.50 </w:t>
            </w:r>
          </w:p>
        </w:tc>
        <w:tc>
          <w:tcPr>
            <w:tcW w:w="669" w:type="pct"/>
            <w:tcBorders>
              <w:top w:val="nil"/>
              <w:left w:val="nil"/>
              <w:bottom w:val="nil"/>
              <w:right w:val="single" w:sz="8" w:space="0" w:color="auto"/>
            </w:tcBorders>
            <w:shd w:val="clear" w:color="auto" w:fill="auto"/>
            <w:noWrap/>
            <w:vAlign w:val="bottom"/>
            <w:hideMark/>
          </w:tcPr>
          <w:p w14:paraId="1DEADABA" w14:textId="77777777" w:rsidR="00067494" w:rsidRPr="00067494" w:rsidRDefault="00067494" w:rsidP="00067494">
            <w:pPr>
              <w:spacing w:after="0" w:line="240" w:lineRule="auto"/>
              <w:rPr>
                <w:rFonts w:ascii="Calibri" w:eastAsia="Times New Roman" w:hAnsi="Calibri" w:cs="Calibri"/>
                <w:color w:val="000000"/>
              </w:rPr>
            </w:pPr>
            <w:r w:rsidRPr="00067494">
              <w:rPr>
                <w:rFonts w:ascii="Calibri" w:eastAsia="Times New Roman" w:hAnsi="Calibri" w:cs="Calibri"/>
                <w:color w:val="000000"/>
              </w:rPr>
              <w:t> </w:t>
            </w:r>
          </w:p>
        </w:tc>
      </w:tr>
      <w:tr w:rsidR="00067494" w:rsidRPr="00067494" w14:paraId="4D6FC208" w14:textId="77777777" w:rsidTr="00067494">
        <w:trPr>
          <w:trHeight w:val="530"/>
        </w:trPr>
        <w:tc>
          <w:tcPr>
            <w:tcW w:w="958" w:type="pct"/>
            <w:tcBorders>
              <w:top w:val="nil"/>
              <w:left w:val="single" w:sz="8" w:space="0" w:color="auto"/>
              <w:bottom w:val="single" w:sz="8" w:space="0" w:color="auto"/>
              <w:right w:val="single" w:sz="8" w:space="0" w:color="auto"/>
            </w:tcBorders>
            <w:shd w:val="clear" w:color="000000" w:fill="FFF2CC"/>
            <w:vAlign w:val="center"/>
            <w:hideMark/>
          </w:tcPr>
          <w:p w14:paraId="06737DD6"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additional BRIEF-A administrations</w:t>
            </w:r>
          </w:p>
        </w:tc>
        <w:tc>
          <w:tcPr>
            <w:tcW w:w="571" w:type="pct"/>
            <w:tcBorders>
              <w:top w:val="nil"/>
              <w:left w:val="nil"/>
              <w:bottom w:val="single" w:sz="8" w:space="0" w:color="auto"/>
              <w:right w:val="single" w:sz="8" w:space="0" w:color="auto"/>
            </w:tcBorders>
            <w:shd w:val="clear" w:color="auto" w:fill="auto"/>
            <w:noWrap/>
            <w:vAlign w:val="center"/>
            <w:hideMark/>
          </w:tcPr>
          <w:p w14:paraId="17AF22C2"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331.00 </w:t>
            </w:r>
          </w:p>
        </w:tc>
        <w:tc>
          <w:tcPr>
            <w:tcW w:w="597" w:type="pct"/>
            <w:tcBorders>
              <w:top w:val="nil"/>
              <w:left w:val="nil"/>
              <w:bottom w:val="single" w:sz="8" w:space="0" w:color="auto"/>
              <w:right w:val="single" w:sz="8" w:space="0" w:color="auto"/>
            </w:tcBorders>
            <w:shd w:val="clear" w:color="auto" w:fill="auto"/>
            <w:noWrap/>
            <w:vAlign w:val="center"/>
            <w:hideMark/>
          </w:tcPr>
          <w:p w14:paraId="34D51FCE"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4.90 </w:t>
            </w:r>
          </w:p>
        </w:tc>
        <w:tc>
          <w:tcPr>
            <w:tcW w:w="1106" w:type="pct"/>
            <w:tcBorders>
              <w:top w:val="nil"/>
              <w:left w:val="nil"/>
              <w:bottom w:val="single" w:sz="8" w:space="0" w:color="auto"/>
              <w:right w:val="single" w:sz="8" w:space="0" w:color="auto"/>
            </w:tcBorders>
            <w:shd w:val="clear" w:color="auto" w:fill="auto"/>
            <w:noWrap/>
            <w:vAlign w:val="center"/>
            <w:hideMark/>
          </w:tcPr>
          <w:p w14:paraId="6F31E592"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1,621.90 </w:t>
            </w:r>
          </w:p>
        </w:tc>
        <w:tc>
          <w:tcPr>
            <w:tcW w:w="1099" w:type="pct"/>
            <w:tcBorders>
              <w:top w:val="nil"/>
              <w:left w:val="nil"/>
              <w:bottom w:val="single" w:sz="8" w:space="0" w:color="auto"/>
              <w:right w:val="single" w:sz="8" w:space="0" w:color="auto"/>
            </w:tcBorders>
            <w:shd w:val="clear" w:color="000000" w:fill="FFF2CC"/>
            <w:vAlign w:val="center"/>
            <w:hideMark/>
          </w:tcPr>
          <w:p w14:paraId="6840F3AB"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 xml:space="preserve"> $              1,621.90 </w:t>
            </w:r>
          </w:p>
        </w:tc>
        <w:tc>
          <w:tcPr>
            <w:tcW w:w="669" w:type="pct"/>
            <w:tcBorders>
              <w:top w:val="single" w:sz="8" w:space="0" w:color="auto"/>
              <w:left w:val="nil"/>
              <w:bottom w:val="single" w:sz="8" w:space="0" w:color="auto"/>
              <w:right w:val="single" w:sz="8" w:space="0" w:color="auto"/>
            </w:tcBorders>
            <w:shd w:val="clear" w:color="000000" w:fill="FFF2CC"/>
            <w:vAlign w:val="center"/>
            <w:hideMark/>
          </w:tcPr>
          <w:p w14:paraId="1ED0DB0A"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*pending invoice (not yet paid)</w:t>
            </w:r>
          </w:p>
        </w:tc>
      </w:tr>
      <w:tr w:rsidR="00067494" w:rsidRPr="00067494" w14:paraId="4C7EE48F" w14:textId="77777777" w:rsidTr="00067494">
        <w:trPr>
          <w:trHeight w:val="530"/>
        </w:trPr>
        <w:tc>
          <w:tcPr>
            <w:tcW w:w="958" w:type="pct"/>
            <w:tcBorders>
              <w:top w:val="nil"/>
              <w:left w:val="single" w:sz="8" w:space="0" w:color="auto"/>
              <w:bottom w:val="single" w:sz="8" w:space="0" w:color="auto"/>
              <w:right w:val="single" w:sz="8" w:space="0" w:color="auto"/>
            </w:tcBorders>
            <w:shd w:val="clear" w:color="000000" w:fill="FFF2CC"/>
            <w:vAlign w:val="center"/>
            <w:hideMark/>
          </w:tcPr>
          <w:p w14:paraId="53739DF9"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BDEFS Qualtrics administration</w:t>
            </w:r>
          </w:p>
        </w:tc>
        <w:tc>
          <w:tcPr>
            <w:tcW w:w="571" w:type="pct"/>
            <w:tcBorders>
              <w:top w:val="nil"/>
              <w:left w:val="nil"/>
              <w:bottom w:val="single" w:sz="8" w:space="0" w:color="auto"/>
              <w:right w:val="single" w:sz="8" w:space="0" w:color="auto"/>
            </w:tcBorders>
            <w:shd w:val="clear" w:color="auto" w:fill="auto"/>
            <w:noWrap/>
            <w:vAlign w:val="center"/>
            <w:hideMark/>
          </w:tcPr>
          <w:p w14:paraId="158036F8"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500.00 </w:t>
            </w:r>
          </w:p>
        </w:tc>
        <w:tc>
          <w:tcPr>
            <w:tcW w:w="597" w:type="pct"/>
            <w:tcBorders>
              <w:top w:val="nil"/>
              <w:left w:val="nil"/>
              <w:bottom w:val="single" w:sz="8" w:space="0" w:color="auto"/>
              <w:right w:val="single" w:sz="8" w:space="0" w:color="auto"/>
            </w:tcBorders>
            <w:shd w:val="clear" w:color="auto" w:fill="auto"/>
            <w:noWrap/>
            <w:vAlign w:val="center"/>
            <w:hideMark/>
          </w:tcPr>
          <w:p w14:paraId="72C995F1"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1.00 </w:t>
            </w:r>
          </w:p>
        </w:tc>
        <w:tc>
          <w:tcPr>
            <w:tcW w:w="1106" w:type="pct"/>
            <w:tcBorders>
              <w:top w:val="nil"/>
              <w:left w:val="nil"/>
              <w:bottom w:val="single" w:sz="8" w:space="0" w:color="auto"/>
              <w:right w:val="single" w:sz="8" w:space="0" w:color="auto"/>
            </w:tcBorders>
            <w:shd w:val="clear" w:color="auto" w:fill="auto"/>
            <w:noWrap/>
            <w:vAlign w:val="center"/>
            <w:hideMark/>
          </w:tcPr>
          <w:p w14:paraId="3A8A3430"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500.00 </w:t>
            </w:r>
          </w:p>
        </w:tc>
        <w:tc>
          <w:tcPr>
            <w:tcW w:w="1099" w:type="pct"/>
            <w:tcBorders>
              <w:top w:val="nil"/>
              <w:left w:val="nil"/>
              <w:bottom w:val="single" w:sz="8" w:space="0" w:color="auto"/>
              <w:right w:val="single" w:sz="8" w:space="0" w:color="auto"/>
            </w:tcBorders>
            <w:shd w:val="clear" w:color="000000" w:fill="FFF2CC"/>
            <w:vAlign w:val="center"/>
            <w:hideMark/>
          </w:tcPr>
          <w:p w14:paraId="6300F62B"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 xml:space="preserve"> $                 500.00 </w:t>
            </w:r>
          </w:p>
        </w:tc>
        <w:tc>
          <w:tcPr>
            <w:tcW w:w="669" w:type="pct"/>
            <w:tcBorders>
              <w:top w:val="nil"/>
              <w:left w:val="nil"/>
              <w:bottom w:val="single" w:sz="8" w:space="0" w:color="auto"/>
              <w:right w:val="single" w:sz="8" w:space="0" w:color="auto"/>
            </w:tcBorders>
            <w:shd w:val="clear" w:color="000000" w:fill="FFF2CC"/>
            <w:vAlign w:val="center"/>
            <w:hideMark/>
          </w:tcPr>
          <w:p w14:paraId="36F0BC91"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*pending invoice (not yet paid)</w:t>
            </w:r>
          </w:p>
        </w:tc>
      </w:tr>
      <w:tr w:rsidR="00067494" w:rsidRPr="00067494" w14:paraId="02EFCE16" w14:textId="77777777" w:rsidTr="00067494">
        <w:trPr>
          <w:trHeight w:val="53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3B1332A4"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Millisecond </w:t>
            </w:r>
            <w:proofErr w:type="spellStart"/>
            <w:r w:rsidRPr="00067494">
              <w:rPr>
                <w:rFonts w:ascii="Times New Roman" w:eastAsia="Times New Roman" w:hAnsi="Times New Roman" w:cs="Times New Roman"/>
                <w:color w:val="000000"/>
                <w:sz w:val="20"/>
                <w:szCs w:val="20"/>
              </w:rPr>
              <w:t>Inquisit</w:t>
            </w:r>
            <w:proofErr w:type="spellEnd"/>
            <w:r w:rsidRPr="00067494">
              <w:rPr>
                <w:rFonts w:ascii="Times New Roman" w:eastAsia="Times New Roman" w:hAnsi="Times New Roman" w:cs="Times New Roman"/>
                <w:color w:val="000000"/>
                <w:sz w:val="20"/>
                <w:szCs w:val="20"/>
              </w:rPr>
              <w:t xml:space="preserve"> Web + Lab license</w:t>
            </w:r>
          </w:p>
        </w:tc>
        <w:tc>
          <w:tcPr>
            <w:tcW w:w="571" w:type="pct"/>
            <w:tcBorders>
              <w:top w:val="nil"/>
              <w:left w:val="nil"/>
              <w:bottom w:val="single" w:sz="8" w:space="0" w:color="auto"/>
              <w:right w:val="single" w:sz="8" w:space="0" w:color="auto"/>
            </w:tcBorders>
            <w:shd w:val="clear" w:color="auto" w:fill="auto"/>
            <w:noWrap/>
            <w:vAlign w:val="center"/>
            <w:hideMark/>
          </w:tcPr>
          <w:p w14:paraId="6A8A9E9C"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1.00 </w:t>
            </w:r>
          </w:p>
        </w:tc>
        <w:tc>
          <w:tcPr>
            <w:tcW w:w="597" w:type="pct"/>
            <w:tcBorders>
              <w:top w:val="nil"/>
              <w:left w:val="nil"/>
              <w:bottom w:val="single" w:sz="8" w:space="0" w:color="auto"/>
              <w:right w:val="single" w:sz="8" w:space="0" w:color="auto"/>
            </w:tcBorders>
            <w:shd w:val="clear" w:color="auto" w:fill="auto"/>
            <w:noWrap/>
            <w:vAlign w:val="center"/>
            <w:hideMark/>
          </w:tcPr>
          <w:p w14:paraId="62F3A920"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$ 3,145.00 </w:t>
            </w:r>
          </w:p>
        </w:tc>
        <w:tc>
          <w:tcPr>
            <w:tcW w:w="1106" w:type="pct"/>
            <w:tcBorders>
              <w:top w:val="nil"/>
              <w:left w:val="nil"/>
              <w:bottom w:val="single" w:sz="8" w:space="0" w:color="auto"/>
              <w:right w:val="single" w:sz="8" w:space="0" w:color="auto"/>
            </w:tcBorders>
            <w:shd w:val="clear" w:color="auto" w:fill="auto"/>
            <w:noWrap/>
            <w:vAlign w:val="center"/>
            <w:hideMark/>
          </w:tcPr>
          <w:p w14:paraId="38AC2464" w14:textId="77777777" w:rsidR="00067494" w:rsidRPr="00067494" w:rsidRDefault="00067494" w:rsidP="00067494">
            <w:pPr>
              <w:spacing w:after="0" w:line="240" w:lineRule="auto"/>
              <w:jc w:val="right"/>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3,145.00 </w:t>
            </w:r>
          </w:p>
        </w:tc>
        <w:tc>
          <w:tcPr>
            <w:tcW w:w="1099" w:type="pct"/>
            <w:tcBorders>
              <w:top w:val="nil"/>
              <w:left w:val="nil"/>
              <w:bottom w:val="single" w:sz="8" w:space="0" w:color="auto"/>
              <w:right w:val="single" w:sz="8" w:space="0" w:color="auto"/>
            </w:tcBorders>
            <w:shd w:val="clear" w:color="000000" w:fill="FFFF00"/>
            <w:vAlign w:val="center"/>
            <w:hideMark/>
          </w:tcPr>
          <w:p w14:paraId="3EFCDC28" w14:textId="77777777" w:rsidR="00067494" w:rsidRPr="00067494" w:rsidRDefault="00067494" w:rsidP="00067494">
            <w:pPr>
              <w:spacing w:after="0" w:line="240" w:lineRule="auto"/>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xml:space="preserve"> $               3,145.00 </w:t>
            </w:r>
          </w:p>
        </w:tc>
        <w:tc>
          <w:tcPr>
            <w:tcW w:w="669" w:type="pct"/>
            <w:tcBorders>
              <w:top w:val="nil"/>
              <w:left w:val="nil"/>
              <w:bottom w:val="single" w:sz="8" w:space="0" w:color="auto"/>
              <w:right w:val="single" w:sz="8" w:space="0" w:color="auto"/>
            </w:tcBorders>
            <w:shd w:val="clear" w:color="auto" w:fill="auto"/>
            <w:noWrap/>
            <w:vAlign w:val="center"/>
            <w:hideMark/>
          </w:tcPr>
          <w:p w14:paraId="0596BD7B"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r>
      <w:tr w:rsidR="00067494" w:rsidRPr="00067494" w14:paraId="1F131D21" w14:textId="77777777" w:rsidTr="00067494">
        <w:trPr>
          <w:trHeight w:val="3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44C1D086" w14:textId="77777777" w:rsidR="00067494" w:rsidRPr="00067494" w:rsidRDefault="00067494" w:rsidP="00067494">
            <w:pPr>
              <w:spacing w:after="0" w:line="240" w:lineRule="auto"/>
              <w:rPr>
                <w:rFonts w:ascii="Times New Roman" w:eastAsia="Times New Roman" w:hAnsi="Times New Roman" w:cs="Times New Roman"/>
                <w:color w:val="E7E6E6"/>
                <w:sz w:val="20"/>
                <w:szCs w:val="20"/>
              </w:rPr>
            </w:pPr>
            <w:r w:rsidRPr="00067494">
              <w:rPr>
                <w:rFonts w:ascii="Times New Roman" w:eastAsia="Times New Roman" w:hAnsi="Times New Roman" w:cs="Times New Roman"/>
                <w:color w:val="E7E6E6"/>
                <w:sz w:val="20"/>
                <w:szCs w:val="20"/>
              </w:rPr>
              <w:t> </w:t>
            </w:r>
          </w:p>
        </w:tc>
        <w:tc>
          <w:tcPr>
            <w:tcW w:w="571" w:type="pct"/>
            <w:tcBorders>
              <w:top w:val="nil"/>
              <w:left w:val="nil"/>
              <w:bottom w:val="single" w:sz="8" w:space="0" w:color="auto"/>
              <w:right w:val="single" w:sz="8" w:space="0" w:color="auto"/>
            </w:tcBorders>
            <w:shd w:val="clear" w:color="000000" w:fill="D0CECE"/>
            <w:noWrap/>
            <w:vAlign w:val="center"/>
            <w:hideMark/>
          </w:tcPr>
          <w:p w14:paraId="5A6976CD"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597" w:type="pct"/>
            <w:tcBorders>
              <w:top w:val="nil"/>
              <w:left w:val="nil"/>
              <w:bottom w:val="single" w:sz="8" w:space="0" w:color="auto"/>
              <w:right w:val="single" w:sz="8" w:space="0" w:color="auto"/>
            </w:tcBorders>
            <w:shd w:val="clear" w:color="000000" w:fill="D0CECE"/>
            <w:noWrap/>
            <w:vAlign w:val="center"/>
            <w:hideMark/>
          </w:tcPr>
          <w:p w14:paraId="1AFF8A50"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106" w:type="pct"/>
            <w:tcBorders>
              <w:top w:val="nil"/>
              <w:left w:val="nil"/>
              <w:bottom w:val="single" w:sz="8" w:space="0" w:color="auto"/>
              <w:right w:val="single" w:sz="8" w:space="0" w:color="auto"/>
            </w:tcBorders>
            <w:shd w:val="clear" w:color="000000" w:fill="D0CECE"/>
            <w:noWrap/>
            <w:vAlign w:val="center"/>
            <w:hideMark/>
          </w:tcPr>
          <w:p w14:paraId="5869F1DB"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1099" w:type="pct"/>
            <w:tcBorders>
              <w:top w:val="nil"/>
              <w:left w:val="nil"/>
              <w:bottom w:val="single" w:sz="8" w:space="0" w:color="auto"/>
              <w:right w:val="single" w:sz="8" w:space="0" w:color="auto"/>
            </w:tcBorders>
            <w:shd w:val="clear" w:color="000000" w:fill="D0CECE"/>
            <w:noWrap/>
            <w:vAlign w:val="center"/>
            <w:hideMark/>
          </w:tcPr>
          <w:p w14:paraId="737053BE" w14:textId="77777777" w:rsidR="00067494" w:rsidRPr="00067494" w:rsidRDefault="00067494" w:rsidP="00067494">
            <w:pPr>
              <w:spacing w:after="0" w:line="240" w:lineRule="auto"/>
              <w:jc w:val="center"/>
              <w:rPr>
                <w:rFonts w:ascii="Times New Roman" w:eastAsia="Times New Roman" w:hAnsi="Times New Roman" w:cs="Times New Roman"/>
                <w:color w:val="000000"/>
                <w:sz w:val="20"/>
                <w:szCs w:val="20"/>
              </w:rPr>
            </w:pPr>
            <w:r w:rsidRPr="00067494">
              <w:rPr>
                <w:rFonts w:ascii="Times New Roman" w:eastAsia="Times New Roman" w:hAnsi="Times New Roman" w:cs="Times New Roman"/>
                <w:color w:val="000000"/>
                <w:sz w:val="20"/>
                <w:szCs w:val="20"/>
              </w:rPr>
              <w:t> </w:t>
            </w:r>
          </w:p>
        </w:tc>
        <w:tc>
          <w:tcPr>
            <w:tcW w:w="669" w:type="pct"/>
            <w:tcBorders>
              <w:top w:val="nil"/>
              <w:left w:val="nil"/>
              <w:bottom w:val="single" w:sz="8" w:space="0" w:color="auto"/>
              <w:right w:val="single" w:sz="8" w:space="0" w:color="auto"/>
            </w:tcBorders>
            <w:shd w:val="clear" w:color="000000" w:fill="D0CECE"/>
            <w:noWrap/>
            <w:vAlign w:val="center"/>
            <w:hideMark/>
          </w:tcPr>
          <w:p w14:paraId="3749A386" w14:textId="77777777" w:rsidR="00067494" w:rsidRPr="00067494" w:rsidRDefault="00067494" w:rsidP="00067494">
            <w:pPr>
              <w:spacing w:after="0" w:line="240" w:lineRule="auto"/>
              <w:jc w:val="center"/>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Remaining (not spent):</w:t>
            </w:r>
          </w:p>
        </w:tc>
      </w:tr>
      <w:tr w:rsidR="00067494" w:rsidRPr="00067494" w14:paraId="07BAA4EF" w14:textId="77777777" w:rsidTr="00067494">
        <w:trPr>
          <w:trHeight w:val="700"/>
        </w:trPr>
        <w:tc>
          <w:tcPr>
            <w:tcW w:w="958" w:type="pct"/>
            <w:tcBorders>
              <w:top w:val="nil"/>
              <w:left w:val="single" w:sz="8" w:space="0" w:color="auto"/>
              <w:bottom w:val="single" w:sz="8" w:space="0" w:color="auto"/>
              <w:right w:val="single" w:sz="8" w:space="0" w:color="auto"/>
            </w:tcBorders>
            <w:shd w:val="clear" w:color="auto" w:fill="auto"/>
            <w:vAlign w:val="center"/>
            <w:hideMark/>
          </w:tcPr>
          <w:p w14:paraId="3B513F79"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TOTALS</w:t>
            </w:r>
          </w:p>
        </w:tc>
        <w:tc>
          <w:tcPr>
            <w:tcW w:w="571" w:type="pct"/>
            <w:tcBorders>
              <w:top w:val="nil"/>
              <w:left w:val="nil"/>
              <w:bottom w:val="single" w:sz="8" w:space="0" w:color="auto"/>
              <w:right w:val="single" w:sz="8" w:space="0" w:color="auto"/>
            </w:tcBorders>
            <w:shd w:val="clear" w:color="auto" w:fill="auto"/>
            <w:vAlign w:val="center"/>
            <w:hideMark/>
          </w:tcPr>
          <w:p w14:paraId="36FCDF8C"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w:t>
            </w:r>
          </w:p>
        </w:tc>
        <w:tc>
          <w:tcPr>
            <w:tcW w:w="597" w:type="pct"/>
            <w:tcBorders>
              <w:top w:val="nil"/>
              <w:left w:val="nil"/>
              <w:bottom w:val="single" w:sz="8" w:space="0" w:color="auto"/>
              <w:right w:val="single" w:sz="8" w:space="0" w:color="auto"/>
            </w:tcBorders>
            <w:shd w:val="clear" w:color="auto" w:fill="auto"/>
            <w:vAlign w:val="center"/>
            <w:hideMark/>
          </w:tcPr>
          <w:p w14:paraId="1E18C87E"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w:t>
            </w:r>
          </w:p>
        </w:tc>
        <w:tc>
          <w:tcPr>
            <w:tcW w:w="1106" w:type="pct"/>
            <w:tcBorders>
              <w:top w:val="nil"/>
              <w:left w:val="nil"/>
              <w:bottom w:val="single" w:sz="8" w:space="0" w:color="auto"/>
              <w:right w:val="single" w:sz="8" w:space="0" w:color="auto"/>
            </w:tcBorders>
            <w:shd w:val="clear" w:color="auto" w:fill="auto"/>
            <w:vAlign w:val="center"/>
            <w:hideMark/>
          </w:tcPr>
          <w:p w14:paraId="37D039F4" w14:textId="77777777" w:rsidR="00067494" w:rsidRPr="00067494" w:rsidRDefault="00067494" w:rsidP="00067494">
            <w:pPr>
              <w:spacing w:after="0" w:line="240" w:lineRule="auto"/>
              <w:rPr>
                <w:rFonts w:ascii="Times New Roman" w:eastAsia="Times New Roman" w:hAnsi="Times New Roman" w:cs="Times New Roman"/>
                <w:color w:val="000000"/>
                <w:sz w:val="18"/>
                <w:szCs w:val="18"/>
              </w:rPr>
            </w:pPr>
            <w:r w:rsidRPr="00067494">
              <w:rPr>
                <w:rFonts w:ascii="Times New Roman" w:eastAsia="Times New Roman" w:hAnsi="Times New Roman" w:cs="Times New Roman"/>
                <w:color w:val="000000"/>
                <w:sz w:val="18"/>
                <w:szCs w:val="18"/>
              </w:rPr>
              <w:t>Anticipated total amount spent (after invoices all paid)</w:t>
            </w:r>
          </w:p>
        </w:tc>
        <w:tc>
          <w:tcPr>
            <w:tcW w:w="1099" w:type="pct"/>
            <w:tcBorders>
              <w:top w:val="nil"/>
              <w:left w:val="nil"/>
              <w:bottom w:val="single" w:sz="8" w:space="0" w:color="auto"/>
              <w:right w:val="single" w:sz="8" w:space="0" w:color="auto"/>
            </w:tcBorders>
            <w:shd w:val="clear" w:color="000000" w:fill="FFF2CC"/>
            <w:vAlign w:val="center"/>
            <w:hideMark/>
          </w:tcPr>
          <w:p w14:paraId="4A4C179D"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 xml:space="preserve"> $            11,278.30 </w:t>
            </w:r>
          </w:p>
        </w:tc>
        <w:tc>
          <w:tcPr>
            <w:tcW w:w="669" w:type="pct"/>
            <w:tcBorders>
              <w:top w:val="nil"/>
              <w:left w:val="nil"/>
              <w:bottom w:val="single" w:sz="8" w:space="0" w:color="auto"/>
              <w:right w:val="single" w:sz="8" w:space="0" w:color="auto"/>
            </w:tcBorders>
            <w:shd w:val="clear" w:color="000000" w:fill="FFF2CC"/>
            <w:vAlign w:val="center"/>
            <w:hideMark/>
          </w:tcPr>
          <w:p w14:paraId="6432B0EF" w14:textId="77777777" w:rsidR="00067494" w:rsidRPr="00067494" w:rsidRDefault="00067494" w:rsidP="00067494">
            <w:pPr>
              <w:spacing w:after="0" w:line="240" w:lineRule="auto"/>
              <w:rPr>
                <w:rFonts w:ascii="Times New Roman" w:eastAsia="Times New Roman" w:hAnsi="Times New Roman" w:cs="Times New Roman"/>
                <w:i/>
                <w:iCs/>
                <w:color w:val="000000"/>
                <w:sz w:val="20"/>
                <w:szCs w:val="20"/>
              </w:rPr>
            </w:pPr>
            <w:r w:rsidRPr="00067494">
              <w:rPr>
                <w:rFonts w:ascii="Times New Roman" w:eastAsia="Times New Roman" w:hAnsi="Times New Roman" w:cs="Times New Roman"/>
                <w:i/>
                <w:iCs/>
                <w:color w:val="000000"/>
                <w:sz w:val="20"/>
                <w:szCs w:val="20"/>
              </w:rPr>
              <w:t xml:space="preserve"> $                          1,721.70 </w:t>
            </w:r>
          </w:p>
        </w:tc>
      </w:tr>
      <w:tr w:rsidR="00067494" w:rsidRPr="00067494" w14:paraId="4C5CDDD1" w14:textId="77777777" w:rsidTr="00067494">
        <w:trPr>
          <w:trHeight w:val="700"/>
        </w:trPr>
        <w:tc>
          <w:tcPr>
            <w:tcW w:w="958" w:type="pct"/>
            <w:tcBorders>
              <w:top w:val="nil"/>
              <w:left w:val="single" w:sz="8" w:space="0" w:color="auto"/>
              <w:bottom w:val="single" w:sz="8" w:space="0" w:color="auto"/>
              <w:right w:val="single" w:sz="8" w:space="0" w:color="auto"/>
            </w:tcBorders>
            <w:shd w:val="clear" w:color="000000" w:fill="E7E6E6"/>
            <w:vAlign w:val="center"/>
            <w:hideMark/>
          </w:tcPr>
          <w:p w14:paraId="1E560BB7"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Original award: $13,000</w:t>
            </w:r>
          </w:p>
        </w:tc>
        <w:tc>
          <w:tcPr>
            <w:tcW w:w="571" w:type="pct"/>
            <w:tcBorders>
              <w:top w:val="nil"/>
              <w:left w:val="nil"/>
              <w:bottom w:val="single" w:sz="8" w:space="0" w:color="auto"/>
              <w:right w:val="single" w:sz="8" w:space="0" w:color="auto"/>
            </w:tcBorders>
            <w:shd w:val="clear" w:color="auto" w:fill="auto"/>
            <w:vAlign w:val="center"/>
            <w:hideMark/>
          </w:tcPr>
          <w:p w14:paraId="660C295F"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w:t>
            </w:r>
          </w:p>
        </w:tc>
        <w:tc>
          <w:tcPr>
            <w:tcW w:w="597" w:type="pct"/>
            <w:tcBorders>
              <w:top w:val="nil"/>
              <w:left w:val="nil"/>
              <w:bottom w:val="single" w:sz="8" w:space="0" w:color="auto"/>
              <w:right w:val="single" w:sz="8" w:space="0" w:color="auto"/>
            </w:tcBorders>
            <w:shd w:val="clear" w:color="auto" w:fill="auto"/>
            <w:vAlign w:val="center"/>
            <w:hideMark/>
          </w:tcPr>
          <w:p w14:paraId="7B9BFCB2"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w:t>
            </w:r>
          </w:p>
        </w:tc>
        <w:tc>
          <w:tcPr>
            <w:tcW w:w="1106" w:type="pct"/>
            <w:tcBorders>
              <w:top w:val="nil"/>
              <w:left w:val="nil"/>
              <w:bottom w:val="single" w:sz="8" w:space="0" w:color="auto"/>
              <w:right w:val="single" w:sz="8" w:space="0" w:color="auto"/>
            </w:tcBorders>
            <w:shd w:val="clear" w:color="auto" w:fill="auto"/>
            <w:vAlign w:val="center"/>
            <w:hideMark/>
          </w:tcPr>
          <w:p w14:paraId="2A3A3B0A" w14:textId="77777777" w:rsidR="00067494" w:rsidRPr="00067494" w:rsidRDefault="00067494" w:rsidP="00067494">
            <w:pPr>
              <w:spacing w:after="0" w:line="240" w:lineRule="auto"/>
              <w:rPr>
                <w:rFonts w:ascii="Times New Roman" w:eastAsia="Times New Roman" w:hAnsi="Times New Roman" w:cs="Times New Roman"/>
                <w:color w:val="000000"/>
                <w:sz w:val="18"/>
                <w:szCs w:val="18"/>
              </w:rPr>
            </w:pPr>
            <w:r w:rsidRPr="00067494">
              <w:rPr>
                <w:rFonts w:ascii="Times New Roman" w:eastAsia="Times New Roman" w:hAnsi="Times New Roman" w:cs="Times New Roman"/>
                <w:b/>
                <w:bCs/>
                <w:color w:val="000000"/>
                <w:sz w:val="18"/>
                <w:szCs w:val="18"/>
              </w:rPr>
              <w:t>current</w:t>
            </w:r>
            <w:r w:rsidRPr="00067494">
              <w:rPr>
                <w:rFonts w:ascii="Times New Roman" w:eastAsia="Times New Roman" w:hAnsi="Times New Roman" w:cs="Times New Roman"/>
                <w:color w:val="000000"/>
                <w:sz w:val="18"/>
                <w:szCs w:val="18"/>
              </w:rPr>
              <w:t xml:space="preserve"> total amount spent WITHOUT pending unpaid invoices</w:t>
            </w:r>
          </w:p>
        </w:tc>
        <w:tc>
          <w:tcPr>
            <w:tcW w:w="1099" w:type="pct"/>
            <w:tcBorders>
              <w:top w:val="nil"/>
              <w:left w:val="nil"/>
              <w:bottom w:val="single" w:sz="8" w:space="0" w:color="auto"/>
              <w:right w:val="single" w:sz="8" w:space="0" w:color="auto"/>
            </w:tcBorders>
            <w:shd w:val="clear" w:color="000000" w:fill="FFFF00"/>
            <w:vAlign w:val="center"/>
            <w:hideMark/>
          </w:tcPr>
          <w:p w14:paraId="16F7CA93"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xml:space="preserve"> $               9,156.40 </w:t>
            </w:r>
          </w:p>
        </w:tc>
        <w:tc>
          <w:tcPr>
            <w:tcW w:w="669" w:type="pct"/>
            <w:tcBorders>
              <w:top w:val="nil"/>
              <w:left w:val="nil"/>
              <w:bottom w:val="single" w:sz="8" w:space="0" w:color="auto"/>
              <w:right w:val="single" w:sz="8" w:space="0" w:color="auto"/>
            </w:tcBorders>
            <w:shd w:val="clear" w:color="000000" w:fill="FFFF00"/>
            <w:vAlign w:val="center"/>
            <w:hideMark/>
          </w:tcPr>
          <w:p w14:paraId="3B231802" w14:textId="77777777" w:rsidR="00067494" w:rsidRPr="00067494" w:rsidRDefault="00067494" w:rsidP="00067494">
            <w:pPr>
              <w:spacing w:after="0" w:line="240" w:lineRule="auto"/>
              <w:rPr>
                <w:rFonts w:ascii="Times New Roman" w:eastAsia="Times New Roman" w:hAnsi="Times New Roman" w:cs="Times New Roman"/>
                <w:b/>
                <w:bCs/>
                <w:color w:val="000000"/>
                <w:sz w:val="20"/>
                <w:szCs w:val="20"/>
              </w:rPr>
            </w:pPr>
            <w:r w:rsidRPr="00067494">
              <w:rPr>
                <w:rFonts w:ascii="Times New Roman" w:eastAsia="Times New Roman" w:hAnsi="Times New Roman" w:cs="Times New Roman"/>
                <w:b/>
                <w:bCs/>
                <w:color w:val="000000"/>
                <w:sz w:val="20"/>
                <w:szCs w:val="20"/>
              </w:rPr>
              <w:t xml:space="preserve"> $                           3,843.60 </w:t>
            </w:r>
          </w:p>
        </w:tc>
      </w:tr>
    </w:tbl>
    <w:p w14:paraId="078DB9C6" w14:textId="14914901" w:rsidR="00630C1D" w:rsidRPr="00075653" w:rsidRDefault="00075653" w:rsidP="00D81C8E">
      <w:pPr>
        <w:spacing w:after="0" w:line="240" w:lineRule="auto"/>
        <w:rPr>
          <w:rFonts w:ascii="Times New Roman" w:hAnsi="Times New Roman" w:cs="Times New Roman"/>
          <w:i/>
          <w:sz w:val="20"/>
          <w:szCs w:val="20"/>
        </w:rPr>
      </w:pPr>
      <w:r w:rsidRPr="00075653">
        <w:rPr>
          <w:rFonts w:ascii="Times New Roman" w:hAnsi="Times New Roman" w:cs="Times New Roman"/>
          <w:sz w:val="20"/>
          <w:szCs w:val="20"/>
        </w:rPr>
        <w:t>*</w:t>
      </w:r>
      <w:r w:rsidRPr="00075653">
        <w:rPr>
          <w:rFonts w:ascii="Times New Roman" w:hAnsi="Times New Roman" w:cs="Times New Roman"/>
          <w:i/>
          <w:sz w:val="20"/>
          <w:szCs w:val="20"/>
        </w:rPr>
        <w:t>These invoices are in the payment process as of 1/21/2020. According to the UHCL HSH Business Office, reconciliation reports from Accounting will not reflect these numbers until a February reconciliation report. The most recent reconciliation report is attached.</w:t>
      </w:r>
    </w:p>
    <w:p w14:paraId="6F3BFFC3" w14:textId="77777777" w:rsidR="00075653" w:rsidRPr="00075653" w:rsidRDefault="00075653" w:rsidP="00D81C8E">
      <w:pPr>
        <w:spacing w:after="0" w:line="240" w:lineRule="auto"/>
        <w:rPr>
          <w:rFonts w:ascii="Times New Roman" w:hAnsi="Times New Roman" w:cs="Times New Roman"/>
          <w:i/>
          <w:sz w:val="24"/>
          <w:szCs w:val="24"/>
        </w:rPr>
      </w:pPr>
    </w:p>
    <w:p w14:paraId="44138C1A" w14:textId="547FE5DA" w:rsidR="00636A59" w:rsidRDefault="006905BB" w:rsidP="00D81C8E">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 xml:space="preserve">Dissemination of Results and </w:t>
      </w:r>
      <w:r w:rsidR="008B603A">
        <w:rPr>
          <w:rFonts w:ascii="Times New Roman" w:hAnsi="Times New Roman" w:cs="Times New Roman"/>
          <w:i/>
          <w:sz w:val="24"/>
          <w:szCs w:val="24"/>
        </w:rPr>
        <w:t>Future Directions</w:t>
      </w:r>
    </w:p>
    <w:p w14:paraId="0158C8D1" w14:textId="3C4D01DA" w:rsidR="00002ED8" w:rsidRPr="008B603A" w:rsidRDefault="00FE18F1" w:rsidP="00D81C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results are currently serving as doctoral theses for two students and dissertation data for two other students. The results have been accepted for presentation at SWPA for April 2020. Students will also present results at the University’s in-house research conference in April 2020. We will propose remaining analyses/interpretations for presentation at NASP and/or APA next year, as well as TASP and/or SWPA. We have conducted these preliminary analyses and are continuing to explore additional variables, interactions/possible moderators, etc. for further interpretation. We have written up the Methods and Results for publication and, once the Intro and Discussion sections are completed, will submit the first manuscript for publication in Spring/Summer 2020. We anticipate </w:t>
      </w:r>
      <w:r w:rsidR="005F69A7">
        <w:rPr>
          <w:rFonts w:ascii="Times New Roman" w:hAnsi="Times New Roman" w:cs="Times New Roman"/>
          <w:sz w:val="24"/>
          <w:szCs w:val="24"/>
        </w:rPr>
        <w:t xml:space="preserve">writing up and submitting </w:t>
      </w:r>
      <w:r>
        <w:rPr>
          <w:rFonts w:ascii="Times New Roman" w:hAnsi="Times New Roman" w:cs="Times New Roman"/>
          <w:sz w:val="24"/>
          <w:szCs w:val="24"/>
        </w:rPr>
        <w:t>several publications from this data, including one focusing on EF and trauma, another on mindfulness and trauma, and another on internalizing symptoms (anxiety, depression, and stress) and EF and trauma.</w:t>
      </w:r>
    </w:p>
    <w:sectPr w:rsidR="00002ED8" w:rsidRPr="008B603A" w:rsidSect="00EA52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1AC4C" w14:textId="77777777" w:rsidR="00C9193A" w:rsidRDefault="00C9193A" w:rsidP="008B603A">
      <w:pPr>
        <w:spacing w:after="0" w:line="240" w:lineRule="auto"/>
      </w:pPr>
      <w:r>
        <w:separator/>
      </w:r>
    </w:p>
  </w:endnote>
  <w:endnote w:type="continuationSeparator" w:id="0">
    <w:p w14:paraId="44594DD4" w14:textId="77777777" w:rsidR="00C9193A" w:rsidRDefault="00C9193A" w:rsidP="008B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D13BA" w14:textId="77777777" w:rsidR="00C9193A" w:rsidRDefault="00C9193A" w:rsidP="008B603A">
      <w:pPr>
        <w:spacing w:after="0" w:line="240" w:lineRule="auto"/>
      </w:pPr>
      <w:r>
        <w:separator/>
      </w:r>
    </w:p>
  </w:footnote>
  <w:footnote w:type="continuationSeparator" w:id="0">
    <w:p w14:paraId="1F158168" w14:textId="77777777" w:rsidR="00C9193A" w:rsidRDefault="00C9193A" w:rsidP="008B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A005A"/>
    <w:multiLevelType w:val="hybridMultilevel"/>
    <w:tmpl w:val="1F2E7212"/>
    <w:lvl w:ilvl="0" w:tplc="05CE2C0C">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E5"/>
    <w:rsid w:val="00002ED8"/>
    <w:rsid w:val="00005323"/>
    <w:rsid w:val="00011A42"/>
    <w:rsid w:val="00020245"/>
    <w:rsid w:val="0004601A"/>
    <w:rsid w:val="000469C1"/>
    <w:rsid w:val="00066C5E"/>
    <w:rsid w:val="00067494"/>
    <w:rsid w:val="000723A6"/>
    <w:rsid w:val="00075653"/>
    <w:rsid w:val="000B7B36"/>
    <w:rsid w:val="000D7B7F"/>
    <w:rsid w:val="000F601A"/>
    <w:rsid w:val="0012150B"/>
    <w:rsid w:val="001604E9"/>
    <w:rsid w:val="00183101"/>
    <w:rsid w:val="001E7907"/>
    <w:rsid w:val="00207455"/>
    <w:rsid w:val="002205DC"/>
    <w:rsid w:val="00294E33"/>
    <w:rsid w:val="00305979"/>
    <w:rsid w:val="00314010"/>
    <w:rsid w:val="00320149"/>
    <w:rsid w:val="00341DFA"/>
    <w:rsid w:val="003616DC"/>
    <w:rsid w:val="00377929"/>
    <w:rsid w:val="00384060"/>
    <w:rsid w:val="00396F17"/>
    <w:rsid w:val="003F2048"/>
    <w:rsid w:val="00415588"/>
    <w:rsid w:val="00450107"/>
    <w:rsid w:val="004555A8"/>
    <w:rsid w:val="0048073F"/>
    <w:rsid w:val="0048608D"/>
    <w:rsid w:val="004902C9"/>
    <w:rsid w:val="004E01CC"/>
    <w:rsid w:val="004F492E"/>
    <w:rsid w:val="00500004"/>
    <w:rsid w:val="005217C1"/>
    <w:rsid w:val="00542763"/>
    <w:rsid w:val="00550374"/>
    <w:rsid w:val="00553C27"/>
    <w:rsid w:val="005B71CF"/>
    <w:rsid w:val="005C4D19"/>
    <w:rsid w:val="005F59F1"/>
    <w:rsid w:val="005F69A7"/>
    <w:rsid w:val="00600452"/>
    <w:rsid w:val="00614F27"/>
    <w:rsid w:val="00630C1D"/>
    <w:rsid w:val="00636A59"/>
    <w:rsid w:val="00654A2F"/>
    <w:rsid w:val="00675AE4"/>
    <w:rsid w:val="0067634E"/>
    <w:rsid w:val="00683FAB"/>
    <w:rsid w:val="006905BB"/>
    <w:rsid w:val="006C3FDA"/>
    <w:rsid w:val="006E1244"/>
    <w:rsid w:val="006F47D6"/>
    <w:rsid w:val="0074426B"/>
    <w:rsid w:val="0075350F"/>
    <w:rsid w:val="007B6922"/>
    <w:rsid w:val="007C1B3A"/>
    <w:rsid w:val="007E2CC6"/>
    <w:rsid w:val="008179E8"/>
    <w:rsid w:val="008A5CA5"/>
    <w:rsid w:val="008B603A"/>
    <w:rsid w:val="008E371C"/>
    <w:rsid w:val="008E489E"/>
    <w:rsid w:val="009263FE"/>
    <w:rsid w:val="009616EC"/>
    <w:rsid w:val="009664BA"/>
    <w:rsid w:val="009B107D"/>
    <w:rsid w:val="009E4826"/>
    <w:rsid w:val="009F5E1C"/>
    <w:rsid w:val="00A003DF"/>
    <w:rsid w:val="00A50326"/>
    <w:rsid w:val="00A7628B"/>
    <w:rsid w:val="00A864F2"/>
    <w:rsid w:val="00A92F6B"/>
    <w:rsid w:val="00AD1CFB"/>
    <w:rsid w:val="00AE6E96"/>
    <w:rsid w:val="00AF4AF4"/>
    <w:rsid w:val="00B045E0"/>
    <w:rsid w:val="00B1172C"/>
    <w:rsid w:val="00B1665E"/>
    <w:rsid w:val="00B205BD"/>
    <w:rsid w:val="00B35438"/>
    <w:rsid w:val="00B523E5"/>
    <w:rsid w:val="00B53E5B"/>
    <w:rsid w:val="00BD2EA6"/>
    <w:rsid w:val="00BD4BEA"/>
    <w:rsid w:val="00BD5242"/>
    <w:rsid w:val="00BF39E5"/>
    <w:rsid w:val="00C11CE4"/>
    <w:rsid w:val="00C1427B"/>
    <w:rsid w:val="00C21206"/>
    <w:rsid w:val="00C41836"/>
    <w:rsid w:val="00C50607"/>
    <w:rsid w:val="00C630F3"/>
    <w:rsid w:val="00C80448"/>
    <w:rsid w:val="00C87E0F"/>
    <w:rsid w:val="00C9193A"/>
    <w:rsid w:val="00D70487"/>
    <w:rsid w:val="00D81C8E"/>
    <w:rsid w:val="00D91124"/>
    <w:rsid w:val="00E1467F"/>
    <w:rsid w:val="00E429B0"/>
    <w:rsid w:val="00E65D84"/>
    <w:rsid w:val="00E86283"/>
    <w:rsid w:val="00EA5236"/>
    <w:rsid w:val="00EC7F89"/>
    <w:rsid w:val="00F5057F"/>
    <w:rsid w:val="00F533A5"/>
    <w:rsid w:val="00FC1AF2"/>
    <w:rsid w:val="00FC5DDF"/>
    <w:rsid w:val="00FE18F1"/>
    <w:rsid w:val="00FE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38FD"/>
  <w15:docId w15:val="{20F03227-ABB5-4B7D-8DD2-FDA6B5C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603A"/>
    <w:rPr>
      <w:sz w:val="16"/>
      <w:szCs w:val="16"/>
    </w:rPr>
  </w:style>
  <w:style w:type="paragraph" w:styleId="CommentText">
    <w:name w:val="annotation text"/>
    <w:basedOn w:val="Normal"/>
    <w:link w:val="CommentTextChar"/>
    <w:uiPriority w:val="99"/>
    <w:semiHidden/>
    <w:unhideWhenUsed/>
    <w:rsid w:val="008B603A"/>
    <w:pPr>
      <w:spacing w:line="240" w:lineRule="auto"/>
    </w:pPr>
    <w:rPr>
      <w:sz w:val="20"/>
      <w:szCs w:val="20"/>
    </w:rPr>
  </w:style>
  <w:style w:type="character" w:customStyle="1" w:styleId="CommentTextChar">
    <w:name w:val="Comment Text Char"/>
    <w:basedOn w:val="DefaultParagraphFont"/>
    <w:link w:val="CommentText"/>
    <w:uiPriority w:val="99"/>
    <w:semiHidden/>
    <w:rsid w:val="008B603A"/>
    <w:rPr>
      <w:sz w:val="20"/>
      <w:szCs w:val="20"/>
    </w:rPr>
  </w:style>
  <w:style w:type="paragraph" w:styleId="CommentSubject">
    <w:name w:val="annotation subject"/>
    <w:basedOn w:val="CommentText"/>
    <w:next w:val="CommentText"/>
    <w:link w:val="CommentSubjectChar"/>
    <w:uiPriority w:val="99"/>
    <w:semiHidden/>
    <w:unhideWhenUsed/>
    <w:rsid w:val="008B603A"/>
    <w:rPr>
      <w:b/>
      <w:bCs/>
    </w:rPr>
  </w:style>
  <w:style w:type="character" w:customStyle="1" w:styleId="CommentSubjectChar">
    <w:name w:val="Comment Subject Char"/>
    <w:basedOn w:val="CommentTextChar"/>
    <w:link w:val="CommentSubject"/>
    <w:uiPriority w:val="99"/>
    <w:semiHidden/>
    <w:rsid w:val="008B603A"/>
    <w:rPr>
      <w:b/>
      <w:bCs/>
      <w:sz w:val="20"/>
      <w:szCs w:val="20"/>
    </w:rPr>
  </w:style>
  <w:style w:type="paragraph" w:styleId="BalloonText">
    <w:name w:val="Balloon Text"/>
    <w:basedOn w:val="Normal"/>
    <w:link w:val="BalloonTextChar"/>
    <w:uiPriority w:val="99"/>
    <w:semiHidden/>
    <w:unhideWhenUsed/>
    <w:rsid w:val="008B6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03A"/>
    <w:rPr>
      <w:rFonts w:ascii="Tahoma" w:hAnsi="Tahoma" w:cs="Tahoma"/>
      <w:sz w:val="16"/>
      <w:szCs w:val="16"/>
    </w:rPr>
  </w:style>
  <w:style w:type="paragraph" w:styleId="Header">
    <w:name w:val="header"/>
    <w:basedOn w:val="Normal"/>
    <w:link w:val="HeaderChar"/>
    <w:uiPriority w:val="99"/>
    <w:semiHidden/>
    <w:unhideWhenUsed/>
    <w:rsid w:val="008B60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03A"/>
  </w:style>
  <w:style w:type="paragraph" w:styleId="Footer">
    <w:name w:val="footer"/>
    <w:basedOn w:val="Normal"/>
    <w:link w:val="FooterChar"/>
    <w:uiPriority w:val="99"/>
    <w:semiHidden/>
    <w:unhideWhenUsed/>
    <w:rsid w:val="008B60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03A"/>
  </w:style>
  <w:style w:type="table" w:styleId="TableGrid">
    <w:name w:val="Table Grid"/>
    <w:basedOn w:val="TableNormal"/>
    <w:uiPriority w:val="59"/>
    <w:unhideWhenUsed/>
    <w:rsid w:val="0018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87E0F"/>
    <w:pPr>
      <w:spacing w:after="0"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C87E0F"/>
    <w:rPr>
      <w:rFonts w:asciiTheme="majorHAnsi" w:eastAsiaTheme="majorEastAsia" w:hAnsiTheme="majorHAnsi" w:cstheme="majorBidi"/>
      <w:caps/>
      <w:color w:val="17365D" w:themeColor="text2" w:themeShade="BF"/>
      <w:spacing w:val="10"/>
      <w:sz w:val="52"/>
      <w:szCs w:val="52"/>
      <w:lang w:eastAsia="ja-JP"/>
    </w:rPr>
  </w:style>
  <w:style w:type="paragraph" w:styleId="ListParagraph">
    <w:name w:val="List Paragraph"/>
    <w:basedOn w:val="Normal"/>
    <w:uiPriority w:val="34"/>
    <w:qFormat/>
    <w:rsid w:val="003616D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45032">
      <w:bodyDiv w:val="1"/>
      <w:marLeft w:val="0"/>
      <w:marRight w:val="0"/>
      <w:marTop w:val="0"/>
      <w:marBottom w:val="0"/>
      <w:divBdr>
        <w:top w:val="none" w:sz="0" w:space="0" w:color="auto"/>
        <w:left w:val="none" w:sz="0" w:space="0" w:color="auto"/>
        <w:bottom w:val="none" w:sz="0" w:space="0" w:color="auto"/>
        <w:right w:val="none" w:sz="0" w:space="0" w:color="auto"/>
      </w:divBdr>
    </w:div>
    <w:div w:id="501706420">
      <w:bodyDiv w:val="1"/>
      <w:marLeft w:val="0"/>
      <w:marRight w:val="0"/>
      <w:marTop w:val="0"/>
      <w:marBottom w:val="0"/>
      <w:divBdr>
        <w:top w:val="none" w:sz="0" w:space="0" w:color="auto"/>
        <w:left w:val="none" w:sz="0" w:space="0" w:color="auto"/>
        <w:bottom w:val="none" w:sz="0" w:space="0" w:color="auto"/>
        <w:right w:val="none" w:sz="0" w:space="0" w:color="auto"/>
      </w:divBdr>
    </w:div>
    <w:div w:id="1500660228">
      <w:bodyDiv w:val="1"/>
      <w:marLeft w:val="0"/>
      <w:marRight w:val="0"/>
      <w:marTop w:val="0"/>
      <w:marBottom w:val="0"/>
      <w:divBdr>
        <w:top w:val="none" w:sz="0" w:space="0" w:color="auto"/>
        <w:left w:val="none" w:sz="0" w:space="0" w:color="auto"/>
        <w:bottom w:val="none" w:sz="0" w:space="0" w:color="auto"/>
        <w:right w:val="none" w:sz="0" w:space="0" w:color="auto"/>
      </w:divBdr>
    </w:div>
    <w:div w:id="1610310155">
      <w:bodyDiv w:val="1"/>
      <w:marLeft w:val="0"/>
      <w:marRight w:val="0"/>
      <w:marTop w:val="0"/>
      <w:marBottom w:val="0"/>
      <w:divBdr>
        <w:top w:val="none" w:sz="0" w:space="0" w:color="auto"/>
        <w:left w:val="none" w:sz="0" w:space="0" w:color="auto"/>
        <w:bottom w:val="none" w:sz="0" w:space="0" w:color="auto"/>
        <w:right w:val="none" w:sz="0" w:space="0" w:color="auto"/>
      </w:divBdr>
    </w:div>
    <w:div w:id="1755055488">
      <w:bodyDiv w:val="1"/>
      <w:marLeft w:val="0"/>
      <w:marRight w:val="0"/>
      <w:marTop w:val="0"/>
      <w:marBottom w:val="0"/>
      <w:divBdr>
        <w:top w:val="none" w:sz="0" w:space="0" w:color="auto"/>
        <w:left w:val="none" w:sz="0" w:space="0" w:color="auto"/>
        <w:bottom w:val="none" w:sz="0" w:space="0" w:color="auto"/>
        <w:right w:val="none" w:sz="0" w:space="0" w:color="auto"/>
      </w:divBdr>
    </w:div>
    <w:div w:id="1784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josephtf</dc:creator>
  <cp:lastModifiedBy>Dan Miller</cp:lastModifiedBy>
  <cp:revision>2</cp:revision>
  <dcterms:created xsi:type="dcterms:W3CDTF">2021-08-18T20:30:00Z</dcterms:created>
  <dcterms:modified xsi:type="dcterms:W3CDTF">2021-08-18T20:30:00Z</dcterms:modified>
</cp:coreProperties>
</file>