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B1D298" w14:textId="77777777" w:rsidR="00B15691" w:rsidRDefault="00B15691" w:rsidP="0059042F"/>
    <w:p w14:paraId="3CE8D58E" w14:textId="77777777" w:rsidR="009B3175" w:rsidRPr="00812723" w:rsidRDefault="009B3175" w:rsidP="009B3175">
      <w:pPr>
        <w:jc w:val="center"/>
        <w:rPr>
          <w:b/>
        </w:rPr>
      </w:pPr>
      <w:r w:rsidRPr="00812723">
        <w:rPr>
          <w:b/>
        </w:rPr>
        <w:t>TEXAS WOMAN’S UNIVERSITY BOARD OF REGENTS</w:t>
      </w:r>
    </w:p>
    <w:p w14:paraId="4B55753D" w14:textId="77777777" w:rsidR="009B3175" w:rsidRPr="00812723" w:rsidRDefault="009B3175" w:rsidP="009B3175">
      <w:pPr>
        <w:jc w:val="center"/>
        <w:rPr>
          <w:b/>
        </w:rPr>
      </w:pPr>
      <w:r w:rsidRPr="00812723">
        <w:rPr>
          <w:b/>
        </w:rPr>
        <w:t>FINANCE AND AUDIT COMMITTEE MINUTES</w:t>
      </w:r>
    </w:p>
    <w:p w14:paraId="287F7808" w14:textId="06C73692" w:rsidR="009B3175" w:rsidRPr="00812723" w:rsidRDefault="002B444F" w:rsidP="009B3175">
      <w:pPr>
        <w:jc w:val="center"/>
        <w:rPr>
          <w:b/>
        </w:rPr>
      </w:pPr>
      <w:r>
        <w:rPr>
          <w:b/>
        </w:rPr>
        <w:t>August 8, 2019</w:t>
      </w:r>
    </w:p>
    <w:p w14:paraId="3D2CA0B3" w14:textId="77777777" w:rsidR="009B3175" w:rsidRPr="00812723" w:rsidRDefault="009B3175" w:rsidP="009B3175">
      <w:pPr>
        <w:jc w:val="center"/>
        <w:rPr>
          <w:b/>
        </w:rPr>
      </w:pPr>
    </w:p>
    <w:p w14:paraId="7D61EA71" w14:textId="77777777" w:rsidR="002B444F" w:rsidRDefault="002B444F" w:rsidP="002B444F">
      <w:pPr>
        <w:jc w:val="center"/>
        <w:rPr>
          <w:b/>
        </w:rPr>
      </w:pPr>
      <w:r>
        <w:rPr>
          <w:b/>
        </w:rPr>
        <w:t>Board of Regents Conference Room</w:t>
      </w:r>
    </w:p>
    <w:p w14:paraId="306BFA65" w14:textId="77777777" w:rsidR="002B444F" w:rsidRDefault="002B444F" w:rsidP="002B444F">
      <w:pPr>
        <w:jc w:val="center"/>
        <w:rPr>
          <w:b/>
        </w:rPr>
      </w:pPr>
      <w:r>
        <w:rPr>
          <w:b/>
        </w:rPr>
        <w:t>ACT, 16</w:t>
      </w:r>
      <w:r w:rsidRPr="0061331F">
        <w:rPr>
          <w:b/>
          <w:vertAlign w:val="superscript"/>
        </w:rPr>
        <w:t>th</w:t>
      </w:r>
      <w:r>
        <w:rPr>
          <w:b/>
        </w:rPr>
        <w:t xml:space="preserve"> Floor</w:t>
      </w:r>
    </w:p>
    <w:p w14:paraId="3971CC95" w14:textId="77777777" w:rsidR="002B444F" w:rsidRDefault="002B444F" w:rsidP="002B444F">
      <w:pPr>
        <w:jc w:val="center"/>
        <w:rPr>
          <w:b/>
        </w:rPr>
      </w:pPr>
      <w:r>
        <w:rPr>
          <w:b/>
        </w:rPr>
        <w:t>304 Administration Dr.</w:t>
      </w:r>
    </w:p>
    <w:p w14:paraId="741DCC0A" w14:textId="5DC24C70" w:rsidR="009F6997" w:rsidRPr="00812723" w:rsidRDefault="002B444F" w:rsidP="002B444F">
      <w:pPr>
        <w:jc w:val="center"/>
        <w:rPr>
          <w:b/>
        </w:rPr>
      </w:pPr>
      <w:r>
        <w:rPr>
          <w:b/>
        </w:rPr>
        <w:t>Denton, Texas 76201</w:t>
      </w:r>
    </w:p>
    <w:p w14:paraId="3D84A224" w14:textId="77777777" w:rsidR="00E51238" w:rsidRPr="00812723" w:rsidRDefault="00E51238" w:rsidP="00A47211">
      <w:pPr>
        <w:jc w:val="center"/>
        <w:rPr>
          <w:b/>
        </w:rPr>
      </w:pPr>
    </w:p>
    <w:p w14:paraId="362993BE" w14:textId="77777777" w:rsidR="009B3175" w:rsidRPr="00812723" w:rsidRDefault="009B3175" w:rsidP="00A22FCD">
      <w:pPr>
        <w:rPr>
          <w:b/>
        </w:rPr>
      </w:pPr>
      <w:r w:rsidRPr="00812723">
        <w:rPr>
          <w:b/>
        </w:rPr>
        <w:t>Roll Call:</w:t>
      </w:r>
    </w:p>
    <w:p w14:paraId="7415C074" w14:textId="77777777" w:rsidR="009B3175" w:rsidRPr="00812723" w:rsidRDefault="009B3175" w:rsidP="009B3175"/>
    <w:p w14:paraId="01851995" w14:textId="77777777" w:rsidR="009B3175" w:rsidRPr="00812723" w:rsidRDefault="009B3175" w:rsidP="009B3175">
      <w:pPr>
        <w:rPr>
          <w:u w:val="single"/>
        </w:rPr>
      </w:pPr>
      <w:r w:rsidRPr="00812723">
        <w:rPr>
          <w:u w:val="single"/>
        </w:rPr>
        <w:t>Present Committee Members:</w:t>
      </w:r>
    </w:p>
    <w:p w14:paraId="6A330AEB" w14:textId="6CEBBC2B" w:rsidR="009B3175" w:rsidRPr="00812723" w:rsidRDefault="0012184C" w:rsidP="009B3175">
      <w:r w:rsidRPr="00812723">
        <w:t xml:space="preserve">Regents </w:t>
      </w:r>
      <w:r w:rsidR="00F71F9A">
        <w:t>Wu</w:t>
      </w:r>
      <w:r w:rsidRPr="00812723">
        <w:t xml:space="preserve"> (Chair), </w:t>
      </w:r>
      <w:r w:rsidR="00F71F9A">
        <w:t xml:space="preserve">Hyde, McDavid, </w:t>
      </w:r>
      <w:r w:rsidR="00600040">
        <w:t>Wilson</w:t>
      </w:r>
      <w:r w:rsidRPr="00812723">
        <w:t xml:space="preserve">, </w:t>
      </w:r>
      <w:r w:rsidR="000979A1">
        <w:t xml:space="preserve">and </w:t>
      </w:r>
      <w:r w:rsidR="00F71F9A">
        <w:t>Jester</w:t>
      </w:r>
      <w:r w:rsidR="00E933E5">
        <w:t xml:space="preserve"> (Ex-O</w:t>
      </w:r>
      <w:r w:rsidRPr="00812723">
        <w:t>fficio)</w:t>
      </w:r>
      <w:r w:rsidRPr="00812723" w:rsidDel="0012184C">
        <w:t xml:space="preserve"> </w:t>
      </w:r>
    </w:p>
    <w:p w14:paraId="4336D681" w14:textId="77777777" w:rsidR="007402D1" w:rsidRPr="00812723" w:rsidRDefault="007402D1" w:rsidP="009B3175"/>
    <w:p w14:paraId="29CFDED8" w14:textId="77777777" w:rsidR="009B3175" w:rsidRPr="00812723" w:rsidRDefault="009B3175" w:rsidP="009B3175">
      <w:pPr>
        <w:rPr>
          <w:u w:val="single"/>
        </w:rPr>
      </w:pPr>
      <w:r w:rsidRPr="00812723">
        <w:rPr>
          <w:u w:val="single"/>
        </w:rPr>
        <w:t>Present Administrators:</w:t>
      </w:r>
    </w:p>
    <w:p w14:paraId="26A4BEFD" w14:textId="4B91220B" w:rsidR="009B3175" w:rsidRPr="00812723" w:rsidRDefault="009B3175" w:rsidP="004D3677">
      <w:pPr>
        <w:jc w:val="both"/>
      </w:pPr>
      <w:r w:rsidRPr="00812723">
        <w:t xml:space="preserve">Dr. Carine </w:t>
      </w:r>
      <w:r w:rsidR="00252902" w:rsidRPr="00812723">
        <w:t xml:space="preserve">M. </w:t>
      </w:r>
      <w:r w:rsidRPr="00812723">
        <w:t xml:space="preserve">Feyten, Chancellor and President; Ms. </w:t>
      </w:r>
      <w:r w:rsidR="004D3677" w:rsidRPr="00812723">
        <w:t>Katherine Antwi Green</w:t>
      </w:r>
      <w:r w:rsidRPr="00812723">
        <w:t>, General Counsel</w:t>
      </w:r>
      <w:r w:rsidR="004D3677" w:rsidRPr="00812723">
        <w:t>, Secretary to the Board, and</w:t>
      </w:r>
      <w:r w:rsidR="00EF75B6" w:rsidRPr="00812723">
        <w:t xml:space="preserve"> Associate Vice President of Compliance</w:t>
      </w:r>
      <w:r w:rsidR="009819D1" w:rsidRPr="00812723">
        <w:t>;</w:t>
      </w:r>
      <w:r w:rsidRPr="00812723">
        <w:t xml:space="preserve"> M</w:t>
      </w:r>
      <w:r w:rsidR="007147C9" w:rsidRPr="00812723">
        <w:t>r. Jason Tomlinson</w:t>
      </w:r>
      <w:r w:rsidR="007402D1" w:rsidRPr="00812723">
        <w:t>,</w:t>
      </w:r>
      <w:r w:rsidR="007147C9" w:rsidRPr="00812723">
        <w:t xml:space="preserve"> Vice President of Finance and Administration</w:t>
      </w:r>
      <w:r w:rsidR="00DA03E2" w:rsidRPr="00812723">
        <w:t>,</w:t>
      </w:r>
      <w:r w:rsidRPr="00812723">
        <w:t xml:space="preserve"> Dr. Monica Mendez-Grant,</w:t>
      </w:r>
      <w:r w:rsidR="00EF75B6" w:rsidRPr="00812723">
        <w:t xml:space="preserve"> </w:t>
      </w:r>
      <w:r w:rsidRPr="00812723">
        <w:t>Vice President for Student Life</w:t>
      </w:r>
      <w:r w:rsidR="009819D1" w:rsidRPr="00812723">
        <w:t>;</w:t>
      </w:r>
      <w:r w:rsidRPr="00812723">
        <w:t xml:space="preserve"> Dr. </w:t>
      </w:r>
      <w:r w:rsidR="00F94301">
        <w:t>Carolyn Kapinus, Interim</w:t>
      </w:r>
      <w:r w:rsidRPr="00812723">
        <w:t xml:space="preserve"> Provost and Vice President for</w:t>
      </w:r>
      <w:r w:rsidR="00B17B26" w:rsidRPr="00812723">
        <w:t xml:space="preserve"> </w:t>
      </w:r>
      <w:r w:rsidRPr="00812723">
        <w:t>Academic Affairs</w:t>
      </w:r>
      <w:r w:rsidR="009819D1" w:rsidRPr="00812723">
        <w:t>;</w:t>
      </w:r>
      <w:r w:rsidRPr="00812723">
        <w:t xml:space="preserve"> Dr. Randall Langston, Vice President for Enrollment Services</w:t>
      </w:r>
      <w:r w:rsidR="009819D1" w:rsidRPr="00812723">
        <w:t>;</w:t>
      </w:r>
      <w:r w:rsidRPr="00812723">
        <w:t xml:space="preserve"> </w:t>
      </w:r>
      <w:r w:rsidR="004D3677" w:rsidRPr="00812723">
        <w:t>Dr. Kimberly Russell,</w:t>
      </w:r>
      <w:r w:rsidR="007147C9" w:rsidRPr="00812723">
        <w:t xml:space="preserve"> Vice President of </w:t>
      </w:r>
      <w:r w:rsidR="004D3677" w:rsidRPr="00812723">
        <w:t xml:space="preserve">University </w:t>
      </w:r>
      <w:r w:rsidR="007147C9" w:rsidRPr="00812723">
        <w:t xml:space="preserve">Advancement </w:t>
      </w:r>
    </w:p>
    <w:p w14:paraId="193FC46F" w14:textId="77777777" w:rsidR="009B3175" w:rsidRPr="00812723" w:rsidRDefault="009B3175" w:rsidP="004D3677">
      <w:pPr>
        <w:jc w:val="both"/>
        <w:rPr>
          <w:b/>
        </w:rPr>
      </w:pPr>
    </w:p>
    <w:p w14:paraId="3E5F859B" w14:textId="45A3E3ED" w:rsidR="009B3175" w:rsidRPr="00812723" w:rsidRDefault="009B3175" w:rsidP="001D7D0A">
      <w:pPr>
        <w:pStyle w:val="ListParagraph"/>
        <w:numPr>
          <w:ilvl w:val="0"/>
          <w:numId w:val="9"/>
        </w:numPr>
        <w:jc w:val="both"/>
        <w:rPr>
          <w:b/>
        </w:rPr>
      </w:pPr>
      <w:r w:rsidRPr="00812723">
        <w:rPr>
          <w:b/>
        </w:rPr>
        <w:t>Call to Order:</w:t>
      </w:r>
    </w:p>
    <w:p w14:paraId="71955662" w14:textId="77777777" w:rsidR="009B3175" w:rsidRPr="00812723" w:rsidRDefault="009B3175" w:rsidP="004D3677">
      <w:pPr>
        <w:jc w:val="both"/>
      </w:pPr>
    </w:p>
    <w:p w14:paraId="091FEDF5" w14:textId="584A8DC7" w:rsidR="009B3175" w:rsidRPr="00812723" w:rsidRDefault="009B3175" w:rsidP="004D3677">
      <w:pPr>
        <w:jc w:val="both"/>
      </w:pPr>
      <w:r w:rsidRPr="00812723">
        <w:t xml:space="preserve">With a quorum being present, </w:t>
      </w:r>
      <w:r w:rsidR="00943278">
        <w:t>Regent</w:t>
      </w:r>
      <w:r w:rsidR="00600040">
        <w:rPr>
          <w:b/>
        </w:rPr>
        <w:t xml:space="preserve"> </w:t>
      </w:r>
      <w:r w:rsidR="00204183">
        <w:rPr>
          <w:b/>
        </w:rPr>
        <w:t>Wu</w:t>
      </w:r>
      <w:r w:rsidRPr="00812723">
        <w:t>, Chair of the Finance and Audit Committee</w:t>
      </w:r>
      <w:r w:rsidR="00B17B26" w:rsidRPr="00812723">
        <w:t>,</w:t>
      </w:r>
      <w:r w:rsidRPr="00812723">
        <w:t xml:space="preserve"> cal</w:t>
      </w:r>
      <w:r w:rsidR="000A447F" w:rsidRPr="00812723">
        <w:t xml:space="preserve">led the meeting to order at </w:t>
      </w:r>
      <w:r w:rsidR="006E51D7">
        <w:rPr>
          <w:b/>
        </w:rPr>
        <w:t>3</w:t>
      </w:r>
      <w:r w:rsidR="00A47211" w:rsidRPr="00812723">
        <w:rPr>
          <w:b/>
        </w:rPr>
        <w:t>:</w:t>
      </w:r>
      <w:r w:rsidR="006E51D7">
        <w:rPr>
          <w:b/>
        </w:rPr>
        <w:t>00</w:t>
      </w:r>
      <w:r w:rsidRPr="00812723">
        <w:rPr>
          <w:b/>
        </w:rPr>
        <w:t xml:space="preserve"> p.m</w:t>
      </w:r>
      <w:r w:rsidRPr="00812723">
        <w:t>.</w:t>
      </w:r>
    </w:p>
    <w:p w14:paraId="28F88953" w14:textId="77777777" w:rsidR="004D3677" w:rsidRPr="00812723" w:rsidRDefault="004D3677" w:rsidP="004D3677">
      <w:pPr>
        <w:jc w:val="both"/>
      </w:pPr>
    </w:p>
    <w:p w14:paraId="61B90D44" w14:textId="2EEDFC64" w:rsidR="004D3677" w:rsidRPr="00812723" w:rsidRDefault="004D3677" w:rsidP="004D3677">
      <w:pPr>
        <w:jc w:val="both"/>
      </w:pPr>
      <w:r w:rsidRPr="00812723">
        <w:t>Regent</w:t>
      </w:r>
      <w:r w:rsidRPr="00812723">
        <w:rPr>
          <w:b/>
        </w:rPr>
        <w:t xml:space="preserve"> </w:t>
      </w:r>
      <w:r w:rsidR="00204183">
        <w:rPr>
          <w:b/>
        </w:rPr>
        <w:t>Wu</w:t>
      </w:r>
      <w:r w:rsidRPr="00812723">
        <w:t>, reminde</w:t>
      </w:r>
      <w:r w:rsidR="00303AC2">
        <w:t>d everyone that the meeting is</w:t>
      </w:r>
      <w:r w:rsidRPr="00812723">
        <w:t xml:space="preserve"> being streamed live and asked that everyone speak loudly and clearly as they make comments duri</w:t>
      </w:r>
      <w:r w:rsidR="00303AC2">
        <w:t>ng the meeting</w:t>
      </w:r>
      <w:r w:rsidRPr="00812723">
        <w:t>.</w:t>
      </w:r>
    </w:p>
    <w:p w14:paraId="133EDAEC" w14:textId="77777777" w:rsidR="009B3175" w:rsidRPr="00812723" w:rsidRDefault="009B3175" w:rsidP="004D3677">
      <w:pPr>
        <w:jc w:val="both"/>
      </w:pPr>
    </w:p>
    <w:p w14:paraId="6D6154D1" w14:textId="168FF5F4" w:rsidR="004D3677" w:rsidRPr="00812723" w:rsidRDefault="009B3175" w:rsidP="001D7D0A">
      <w:pPr>
        <w:pStyle w:val="ListParagraph"/>
        <w:numPr>
          <w:ilvl w:val="0"/>
          <w:numId w:val="9"/>
        </w:numPr>
        <w:jc w:val="both"/>
        <w:rPr>
          <w:b/>
        </w:rPr>
      </w:pPr>
      <w:r w:rsidRPr="00812723">
        <w:rPr>
          <w:b/>
        </w:rPr>
        <w:t xml:space="preserve">Consider Approval of the Minutes of the </w:t>
      </w:r>
      <w:r w:rsidR="00943278">
        <w:rPr>
          <w:b/>
        </w:rPr>
        <w:t xml:space="preserve">Finance and Audit </w:t>
      </w:r>
      <w:r w:rsidRPr="00812723">
        <w:rPr>
          <w:b/>
        </w:rPr>
        <w:t xml:space="preserve">Committee Meeting of </w:t>
      </w:r>
      <w:r w:rsidR="002B444F">
        <w:rPr>
          <w:b/>
        </w:rPr>
        <w:t>May 16, 2019</w:t>
      </w:r>
    </w:p>
    <w:p w14:paraId="49FFC1E6" w14:textId="77777777" w:rsidR="004D3677" w:rsidRPr="00812723" w:rsidRDefault="004D3677" w:rsidP="004D3677">
      <w:pPr>
        <w:jc w:val="both"/>
        <w:rPr>
          <w:b/>
        </w:rPr>
      </w:pPr>
    </w:p>
    <w:p w14:paraId="73BE64A6" w14:textId="1DA224C6" w:rsidR="009B3175" w:rsidRPr="00812723" w:rsidRDefault="004D3677" w:rsidP="004D3677">
      <w:pPr>
        <w:jc w:val="both"/>
      </w:pPr>
      <w:r w:rsidRPr="00812723">
        <w:rPr>
          <w:b/>
          <w:u w:val="single"/>
        </w:rPr>
        <w:t>Motion to Approve Minutes</w:t>
      </w:r>
      <w:r w:rsidR="009B3175" w:rsidRPr="00812723">
        <w:t xml:space="preserve">: </w:t>
      </w:r>
      <w:r w:rsidR="007147C9" w:rsidRPr="00812723">
        <w:t xml:space="preserve">Regent </w:t>
      </w:r>
      <w:r w:rsidR="006E51D7" w:rsidRPr="006E51D7">
        <w:rPr>
          <w:b/>
        </w:rPr>
        <w:t>Hyde</w:t>
      </w:r>
      <w:r w:rsidR="007147C9" w:rsidRPr="00812723">
        <w:t xml:space="preserve"> </w:t>
      </w:r>
      <w:r w:rsidR="009B3175" w:rsidRPr="00812723">
        <w:t xml:space="preserve">motioned and </w:t>
      </w:r>
      <w:r w:rsidR="007147C9" w:rsidRPr="00812723">
        <w:t xml:space="preserve">Regent </w:t>
      </w:r>
      <w:r w:rsidR="006E51D7" w:rsidRPr="006E51D7">
        <w:rPr>
          <w:b/>
        </w:rPr>
        <w:t>Wilson</w:t>
      </w:r>
      <w:r w:rsidR="007147C9" w:rsidRPr="00812723">
        <w:t xml:space="preserve"> </w:t>
      </w:r>
      <w:r w:rsidR="009B3175" w:rsidRPr="00812723">
        <w:t>seconded. The motion passed with a vote of</w:t>
      </w:r>
      <w:r w:rsidR="009B3175" w:rsidRPr="00812723">
        <w:rPr>
          <w:b/>
        </w:rPr>
        <w:t xml:space="preserve"> </w:t>
      </w:r>
      <w:r w:rsidR="006E51D7">
        <w:rPr>
          <w:b/>
        </w:rPr>
        <w:t>4</w:t>
      </w:r>
      <w:r w:rsidR="009B3175" w:rsidRPr="00812723">
        <w:rPr>
          <w:b/>
        </w:rPr>
        <w:t>-0-</w:t>
      </w:r>
      <w:r w:rsidR="00C44820" w:rsidRPr="00812723">
        <w:rPr>
          <w:b/>
        </w:rPr>
        <w:t>0</w:t>
      </w:r>
      <w:r w:rsidR="009B3175" w:rsidRPr="00812723">
        <w:rPr>
          <w:b/>
        </w:rPr>
        <w:t>.</w:t>
      </w:r>
    </w:p>
    <w:p w14:paraId="6A283B2C" w14:textId="77777777" w:rsidR="00F3519D" w:rsidRPr="00812723" w:rsidRDefault="00F3519D" w:rsidP="004D3677">
      <w:pPr>
        <w:jc w:val="both"/>
      </w:pPr>
    </w:p>
    <w:p w14:paraId="24730564" w14:textId="28EDCA0A" w:rsidR="009B3175" w:rsidRDefault="009B3175" w:rsidP="004D3677">
      <w:pPr>
        <w:jc w:val="both"/>
      </w:pPr>
      <w:r w:rsidRPr="00812723">
        <w:t>The minutes of t</w:t>
      </w:r>
      <w:r w:rsidR="00B2621C" w:rsidRPr="00812723">
        <w:t>he Finance and Audit Committee M</w:t>
      </w:r>
      <w:r w:rsidRPr="00812723">
        <w:t xml:space="preserve">eeting of </w:t>
      </w:r>
      <w:r w:rsidR="002B444F">
        <w:rPr>
          <w:b/>
        </w:rPr>
        <w:t>May 16, 2019</w:t>
      </w:r>
      <w:r w:rsidRPr="00812723">
        <w:t>, were approved as submitted.</w:t>
      </w:r>
    </w:p>
    <w:p w14:paraId="7212066D" w14:textId="77777777" w:rsidR="002B444F" w:rsidRDefault="002B444F" w:rsidP="004D3677">
      <w:pPr>
        <w:jc w:val="both"/>
      </w:pPr>
    </w:p>
    <w:p w14:paraId="2617B777" w14:textId="77777777" w:rsidR="002B444F" w:rsidRPr="00812723" w:rsidRDefault="002B444F" w:rsidP="002B444F">
      <w:pPr>
        <w:pStyle w:val="ListParagraph"/>
        <w:widowControl/>
        <w:numPr>
          <w:ilvl w:val="0"/>
          <w:numId w:val="10"/>
        </w:numPr>
        <w:jc w:val="both"/>
        <w:rPr>
          <w:b/>
        </w:rPr>
      </w:pPr>
      <w:r w:rsidRPr="00812723">
        <w:rPr>
          <w:b/>
        </w:rPr>
        <w:t>Recess Finance and Audit Committee Meeting into Executive Closed Session</w:t>
      </w:r>
    </w:p>
    <w:p w14:paraId="76E61C81" w14:textId="77777777" w:rsidR="002B444F" w:rsidRPr="00812723" w:rsidRDefault="002B444F" w:rsidP="002B444F">
      <w:pPr>
        <w:widowControl/>
        <w:tabs>
          <w:tab w:val="left" w:pos="907"/>
        </w:tabs>
        <w:ind w:left="60"/>
        <w:jc w:val="both"/>
      </w:pPr>
    </w:p>
    <w:p w14:paraId="74E07D9E" w14:textId="6383F58F" w:rsidR="002B444F" w:rsidRDefault="002B444F" w:rsidP="002B444F">
      <w:pPr>
        <w:widowControl/>
        <w:tabs>
          <w:tab w:val="left" w:pos="907"/>
        </w:tabs>
        <w:ind w:left="60"/>
        <w:jc w:val="both"/>
      </w:pPr>
      <w:r w:rsidRPr="00812723">
        <w:t xml:space="preserve">Regent </w:t>
      </w:r>
      <w:r>
        <w:rPr>
          <w:b/>
        </w:rPr>
        <w:t>Wu</w:t>
      </w:r>
      <w:r w:rsidRPr="00812723">
        <w:t xml:space="preserve"> announced that the Committee would recess into Executive Closed Session for the purposes of </w:t>
      </w:r>
      <w:r>
        <w:t>consulting with TWU counsel regarding legal matters and/or contemplated litigation or settlement offers pursuant to section 551.071 of the Texas Government Code</w:t>
      </w:r>
      <w:r w:rsidRPr="00812723">
        <w:t xml:space="preserve"> at </w:t>
      </w:r>
      <w:r w:rsidR="006E51D7">
        <w:rPr>
          <w:b/>
        </w:rPr>
        <w:t>3:01</w:t>
      </w:r>
      <w:r w:rsidRPr="00812723">
        <w:t xml:space="preserve"> </w:t>
      </w:r>
      <w:r w:rsidRPr="00812723">
        <w:rPr>
          <w:b/>
        </w:rPr>
        <w:t>p.m.</w:t>
      </w:r>
      <w:r w:rsidRPr="00812723">
        <w:t xml:space="preserve"> </w:t>
      </w:r>
    </w:p>
    <w:p w14:paraId="6D988296" w14:textId="77777777" w:rsidR="002B444F" w:rsidRDefault="002B444F" w:rsidP="007D3C74">
      <w:pPr>
        <w:jc w:val="both"/>
      </w:pPr>
    </w:p>
    <w:p w14:paraId="0ED6A76F" w14:textId="23B9091C" w:rsidR="002B444F" w:rsidRDefault="002B444F" w:rsidP="002B444F">
      <w:pPr>
        <w:ind w:left="72"/>
        <w:jc w:val="both"/>
      </w:pPr>
      <w:r>
        <w:t xml:space="preserve">Regent </w:t>
      </w:r>
      <w:r w:rsidRPr="00B61A78">
        <w:rPr>
          <w:b/>
        </w:rPr>
        <w:t>Wu</w:t>
      </w:r>
      <w:r>
        <w:t xml:space="preserve"> noted that Dr. Carolyn Kapinus, Mr. Jason Tomlinson, and Mr. Ali Subhani would remain in the room to provide necessary information and consultation to the Board regarding the items to be discussed.</w:t>
      </w:r>
    </w:p>
    <w:p w14:paraId="5BE21960" w14:textId="77777777" w:rsidR="002B444F" w:rsidRDefault="002B444F" w:rsidP="002B444F">
      <w:pPr>
        <w:ind w:left="72"/>
        <w:jc w:val="both"/>
      </w:pPr>
    </w:p>
    <w:p w14:paraId="0BF45FBB" w14:textId="5C00CD54" w:rsidR="002B444F" w:rsidRDefault="002B444F" w:rsidP="002B444F">
      <w:pPr>
        <w:jc w:val="both"/>
      </w:pPr>
      <w:r>
        <w:t xml:space="preserve">Regent </w:t>
      </w:r>
      <w:r w:rsidRPr="00B61A78">
        <w:rPr>
          <w:b/>
        </w:rPr>
        <w:t>Wu</w:t>
      </w:r>
      <w:r>
        <w:t xml:space="preserve"> directed a</w:t>
      </w:r>
      <w:r w:rsidRPr="005C6F24">
        <w:t xml:space="preserve">ll </w:t>
      </w:r>
      <w:r>
        <w:t xml:space="preserve">other </w:t>
      </w:r>
      <w:r w:rsidRPr="005C6F24">
        <w:t xml:space="preserve">members of the public and staff to leave the meeting room </w:t>
      </w:r>
      <w:r>
        <w:t>for the Executive Closed Session discussion.</w:t>
      </w:r>
    </w:p>
    <w:p w14:paraId="634000DF" w14:textId="77777777" w:rsidR="002B444F" w:rsidRPr="00812723" w:rsidRDefault="002B444F" w:rsidP="002B444F">
      <w:pPr>
        <w:widowControl/>
        <w:tabs>
          <w:tab w:val="left" w:pos="907"/>
        </w:tabs>
        <w:ind w:left="60"/>
        <w:jc w:val="both"/>
        <w:rPr>
          <w:b/>
          <w:i/>
        </w:rPr>
      </w:pPr>
    </w:p>
    <w:p w14:paraId="296E4933" w14:textId="77777777" w:rsidR="002B444F" w:rsidRPr="00812723" w:rsidRDefault="002B444F" w:rsidP="002B444F">
      <w:pPr>
        <w:pStyle w:val="ListParagraph"/>
        <w:widowControl/>
        <w:numPr>
          <w:ilvl w:val="0"/>
          <w:numId w:val="10"/>
        </w:numPr>
        <w:jc w:val="both"/>
        <w:rPr>
          <w:b/>
        </w:rPr>
      </w:pPr>
      <w:r w:rsidRPr="00812723">
        <w:rPr>
          <w:b/>
        </w:rPr>
        <w:t xml:space="preserve">Reconvene to Open Session and Take Any Possible Action Regarding Matters Discussed in Executive Closed Session </w:t>
      </w:r>
    </w:p>
    <w:p w14:paraId="06FAE95F" w14:textId="77777777" w:rsidR="002B444F" w:rsidRPr="00812723" w:rsidRDefault="002B444F" w:rsidP="002B444F">
      <w:pPr>
        <w:widowControl/>
        <w:tabs>
          <w:tab w:val="left" w:pos="907"/>
        </w:tabs>
        <w:ind w:left="60"/>
        <w:jc w:val="both"/>
        <w:rPr>
          <w:b/>
          <w:i/>
        </w:rPr>
      </w:pPr>
    </w:p>
    <w:p w14:paraId="62D78BB2" w14:textId="2D310625" w:rsidR="002B444F" w:rsidRDefault="002B444F" w:rsidP="002B444F">
      <w:pPr>
        <w:widowControl/>
        <w:tabs>
          <w:tab w:val="left" w:pos="907"/>
        </w:tabs>
        <w:ind w:left="60"/>
        <w:jc w:val="both"/>
        <w:rPr>
          <w:b/>
        </w:rPr>
      </w:pPr>
      <w:r w:rsidRPr="00812723">
        <w:t>At the conclusion of the Executive Closed Session, Regent</w:t>
      </w:r>
      <w:r w:rsidRPr="00812723">
        <w:rPr>
          <w:b/>
        </w:rPr>
        <w:t xml:space="preserve"> </w:t>
      </w:r>
      <w:r>
        <w:rPr>
          <w:b/>
        </w:rPr>
        <w:t>Wu</w:t>
      </w:r>
      <w:r w:rsidRPr="00812723">
        <w:t xml:space="preserve"> reconvened the meeting of the Finance and Audit Committee into open session, a quorum being present</w:t>
      </w:r>
      <w:r w:rsidR="00FD10E1">
        <w:t>,</w:t>
      </w:r>
      <w:r w:rsidRPr="00812723">
        <w:t xml:space="preserve"> at </w:t>
      </w:r>
      <w:r w:rsidR="006E51D7">
        <w:rPr>
          <w:b/>
        </w:rPr>
        <w:t>3:40</w:t>
      </w:r>
      <w:r w:rsidRPr="00812723">
        <w:t xml:space="preserve"> </w:t>
      </w:r>
      <w:r w:rsidRPr="00812723">
        <w:rPr>
          <w:b/>
        </w:rPr>
        <w:t>p.m.</w:t>
      </w:r>
    </w:p>
    <w:p w14:paraId="03B4C68B" w14:textId="77777777" w:rsidR="00FD10E1" w:rsidRDefault="00FD10E1" w:rsidP="002B444F">
      <w:pPr>
        <w:widowControl/>
        <w:tabs>
          <w:tab w:val="left" w:pos="907"/>
        </w:tabs>
        <w:ind w:left="60"/>
        <w:jc w:val="both"/>
        <w:rPr>
          <w:b/>
        </w:rPr>
      </w:pPr>
    </w:p>
    <w:p w14:paraId="49316796" w14:textId="632B4722" w:rsidR="00FD10E1" w:rsidRPr="00FD10E1" w:rsidRDefault="00FD10E1" w:rsidP="002B444F">
      <w:pPr>
        <w:widowControl/>
        <w:tabs>
          <w:tab w:val="left" w:pos="907"/>
        </w:tabs>
        <w:ind w:left="60"/>
        <w:jc w:val="both"/>
      </w:pPr>
      <w:r w:rsidRPr="00FD10E1">
        <w:t>No action was taken on the items discussed during the Executive Closed Session for the Finance and Audit Committee Meeting.</w:t>
      </w:r>
    </w:p>
    <w:p w14:paraId="6BA29136" w14:textId="77777777" w:rsidR="00FC70F0" w:rsidRPr="00812723" w:rsidRDefault="00FC70F0" w:rsidP="004D3677">
      <w:pPr>
        <w:ind w:left="360"/>
        <w:jc w:val="both"/>
        <w:rPr>
          <w:b/>
        </w:rPr>
      </w:pPr>
    </w:p>
    <w:p w14:paraId="56A9B42F" w14:textId="77777777" w:rsidR="009B3175" w:rsidRPr="00812723" w:rsidRDefault="009B3175" w:rsidP="002B444F">
      <w:pPr>
        <w:pStyle w:val="ListParagraph"/>
        <w:numPr>
          <w:ilvl w:val="0"/>
          <w:numId w:val="10"/>
        </w:numPr>
        <w:jc w:val="both"/>
        <w:rPr>
          <w:b/>
        </w:rPr>
      </w:pPr>
      <w:r w:rsidRPr="00812723">
        <w:rPr>
          <w:b/>
        </w:rPr>
        <w:t>Agenda</w:t>
      </w:r>
      <w:r w:rsidR="00A87DCE" w:rsidRPr="00812723">
        <w:rPr>
          <w:b/>
        </w:rPr>
        <w:t xml:space="preserve"> </w:t>
      </w:r>
    </w:p>
    <w:p w14:paraId="47725ABF" w14:textId="77777777" w:rsidR="009B3175" w:rsidRPr="00812723" w:rsidRDefault="009B3175" w:rsidP="004D3677">
      <w:pPr>
        <w:jc w:val="both"/>
      </w:pPr>
    </w:p>
    <w:p w14:paraId="09102BE7" w14:textId="5A9EE757" w:rsidR="00006E7B" w:rsidRPr="00812723" w:rsidRDefault="00006E7B" w:rsidP="004D3677">
      <w:pPr>
        <w:jc w:val="both"/>
        <w:rPr>
          <w:b/>
        </w:rPr>
      </w:pPr>
      <w:r w:rsidRPr="00812723">
        <w:rPr>
          <w:b/>
          <w:u w:val="single"/>
        </w:rPr>
        <w:t>Motion</w:t>
      </w:r>
      <w:r w:rsidR="004D3677" w:rsidRPr="00812723">
        <w:rPr>
          <w:b/>
          <w:u w:val="single"/>
        </w:rPr>
        <w:t xml:space="preserve"> to Take up Agenda Items</w:t>
      </w:r>
      <w:r w:rsidRPr="00812723">
        <w:rPr>
          <w:b/>
          <w:u w:val="single"/>
        </w:rPr>
        <w:t>:</w:t>
      </w:r>
      <w:r w:rsidRPr="00812723">
        <w:t xml:space="preserve"> Regent </w:t>
      </w:r>
      <w:r w:rsidR="006E51D7" w:rsidRPr="006E51D7">
        <w:rPr>
          <w:b/>
        </w:rPr>
        <w:t>Hyde</w:t>
      </w:r>
      <w:r w:rsidRPr="00812723">
        <w:t xml:space="preserve"> motioned and Regent </w:t>
      </w:r>
      <w:r w:rsidR="006E51D7" w:rsidRPr="006E51D7">
        <w:rPr>
          <w:b/>
        </w:rPr>
        <w:t>Wilson</w:t>
      </w:r>
      <w:r w:rsidR="00C44820" w:rsidRPr="00812723" w:rsidDel="00C44820">
        <w:t xml:space="preserve"> </w:t>
      </w:r>
      <w:r w:rsidRPr="00812723">
        <w:t>seconded. The motion passed with a vote of</w:t>
      </w:r>
      <w:r w:rsidRPr="00812723">
        <w:rPr>
          <w:b/>
        </w:rPr>
        <w:t xml:space="preserve"> </w:t>
      </w:r>
      <w:r w:rsidR="006E51D7">
        <w:rPr>
          <w:b/>
        </w:rPr>
        <w:t>4</w:t>
      </w:r>
      <w:r w:rsidRPr="00812723">
        <w:rPr>
          <w:b/>
        </w:rPr>
        <w:t>-0-0.</w:t>
      </w:r>
    </w:p>
    <w:p w14:paraId="4C710094" w14:textId="3D33E6EF" w:rsidR="00A47211" w:rsidRPr="00812723" w:rsidRDefault="009B3175" w:rsidP="004D3677">
      <w:pPr>
        <w:jc w:val="both"/>
        <w:rPr>
          <w:b/>
        </w:rPr>
      </w:pPr>
      <w:r w:rsidRPr="00812723">
        <w:cr/>
      </w:r>
      <w:r w:rsidR="00A47211" w:rsidRPr="00812723">
        <w:rPr>
          <w:b/>
        </w:rPr>
        <w:t xml:space="preserve">Item A. </w:t>
      </w:r>
      <w:r w:rsidR="005B4A57">
        <w:t xml:space="preserve">University Advancement Philanthropic Progress Report </w:t>
      </w:r>
    </w:p>
    <w:p w14:paraId="2630086E" w14:textId="77777777" w:rsidR="00A47211" w:rsidRDefault="00A47211" w:rsidP="004D3677">
      <w:pPr>
        <w:jc w:val="both"/>
      </w:pPr>
    </w:p>
    <w:p w14:paraId="25B41AC3" w14:textId="77777777" w:rsidR="005B4A57" w:rsidRDefault="005B4A57" w:rsidP="004D3677">
      <w:pPr>
        <w:jc w:val="both"/>
      </w:pPr>
      <w:r>
        <w:t>Dr. Russell opened her presentation by introducing Ms. Dianne Baker, for whom the new TWU Softball Field was recently named in response to her generous donation to the University, to the Board of Regents.</w:t>
      </w:r>
    </w:p>
    <w:p w14:paraId="2CBC1B28" w14:textId="77777777" w:rsidR="005B4A57" w:rsidRDefault="005B4A57" w:rsidP="004D3677">
      <w:pPr>
        <w:jc w:val="both"/>
      </w:pPr>
    </w:p>
    <w:p w14:paraId="74B31D29" w14:textId="0E904CF0" w:rsidR="005B4A57" w:rsidRPr="007D3C74" w:rsidRDefault="005B4A57" w:rsidP="004D3677">
      <w:pPr>
        <w:jc w:val="both"/>
      </w:pPr>
      <w:r>
        <w:t xml:space="preserve">Student Regent </w:t>
      </w:r>
      <w:proofErr w:type="spellStart"/>
      <w:r>
        <w:t>D’Abrosca</w:t>
      </w:r>
      <w:proofErr w:type="spellEnd"/>
      <w:r>
        <w:t xml:space="preserve"> congratulated Ms. Baker on her recent inductio</w:t>
      </w:r>
      <w:r w:rsidRPr="007D3C74">
        <w:t>n to</w:t>
      </w:r>
      <w:r w:rsidR="007D3C74" w:rsidRPr="007D3C74">
        <w:t xml:space="preserve"> the</w:t>
      </w:r>
      <w:r w:rsidRPr="007D3C74">
        <w:t xml:space="preserve"> </w:t>
      </w:r>
      <w:r w:rsidR="007D3C74" w:rsidRPr="007D3C74">
        <w:t>Lone Star Conference</w:t>
      </w:r>
      <w:r w:rsidRPr="007D3C74">
        <w:t xml:space="preserve"> Hall of Honor.</w:t>
      </w:r>
    </w:p>
    <w:p w14:paraId="46A7FCC2" w14:textId="77777777" w:rsidR="005B4A57" w:rsidRPr="007D3C74" w:rsidRDefault="005B4A57" w:rsidP="004D3677">
      <w:pPr>
        <w:jc w:val="both"/>
      </w:pPr>
    </w:p>
    <w:p w14:paraId="7499B6AC" w14:textId="47CA3CD8" w:rsidR="005B4A57" w:rsidRDefault="005B4A57" w:rsidP="004D3677">
      <w:pPr>
        <w:jc w:val="both"/>
      </w:pPr>
      <w:r>
        <w:t>Dr. Russell provided the Board with information relat</w:t>
      </w:r>
      <w:r w:rsidR="007D3C74">
        <w:t>ed to the Charitable Gifts and P</w:t>
      </w:r>
      <w:r>
        <w:t>ledges,</w:t>
      </w:r>
      <w:r w:rsidR="007D3C74">
        <w:t xml:space="preserve"> and</w:t>
      </w:r>
      <w:r>
        <w:t xml:space="preserve"> sponsorships </w:t>
      </w:r>
      <w:r w:rsidR="007D3C74">
        <w:t xml:space="preserve">and gifts </w:t>
      </w:r>
      <w:r>
        <w:t>in kind</w:t>
      </w:r>
      <w:r w:rsidR="007D3C74">
        <w:t xml:space="preserve"> received by the University from 4,434 donors. Additionally, she noted </w:t>
      </w:r>
      <w:r>
        <w:t>that TWU</w:t>
      </w:r>
      <w:r w:rsidR="007D3C74">
        <w:t xml:space="preserve"> giving</w:t>
      </w:r>
      <w:r>
        <w:t xml:space="preserve"> is on an upward trend in comparison to 2018</w:t>
      </w:r>
      <w:r w:rsidR="007D3C74">
        <w:t xml:space="preserve"> and </w:t>
      </w:r>
      <w:r>
        <w:t xml:space="preserve">showed the </w:t>
      </w:r>
      <w:r w:rsidR="007D3C74">
        <w:t>Board</w:t>
      </w:r>
      <w:r>
        <w:t xml:space="preserve"> a chart illustrating the annual fiscal-year-to-date giving comparison. </w:t>
      </w:r>
      <w:r w:rsidR="007D3C74">
        <w:t xml:space="preserve">Furthermore, </w:t>
      </w:r>
      <w:r>
        <w:t xml:space="preserve">University Advancement has </w:t>
      </w:r>
      <w:r w:rsidR="007D3C74">
        <w:t xml:space="preserve">implemented </w:t>
      </w:r>
      <w:r>
        <w:t>an initiative called Phone-a-thon, which they hope to use to increase giving among alumnae</w:t>
      </w:r>
      <w:r w:rsidR="007D3C74">
        <w:t xml:space="preserve"> specifically</w:t>
      </w:r>
      <w:r>
        <w:t xml:space="preserve">. </w:t>
      </w:r>
    </w:p>
    <w:p w14:paraId="7542D744" w14:textId="77777777" w:rsidR="005B4A57" w:rsidRDefault="005B4A57" w:rsidP="004D3677">
      <w:pPr>
        <w:jc w:val="both"/>
      </w:pPr>
    </w:p>
    <w:p w14:paraId="7A0A04F6" w14:textId="5BE39E0D" w:rsidR="005B4A57" w:rsidRDefault="005B4A57" w:rsidP="004D3677">
      <w:pPr>
        <w:jc w:val="both"/>
      </w:pPr>
      <w:r>
        <w:t>Additionally, Dr. Russell showed the Board a chart outlining the TWU Foundation total assets for fiscal year 2019, which is just over $80 million. Dr. Russell also noted the Alumni Associations assets specifically.</w:t>
      </w:r>
    </w:p>
    <w:p w14:paraId="463336C2" w14:textId="77777777" w:rsidR="005B4A57" w:rsidRDefault="005B4A57" w:rsidP="004D3677">
      <w:pPr>
        <w:jc w:val="both"/>
      </w:pPr>
    </w:p>
    <w:p w14:paraId="35C888BE" w14:textId="716EBA4E" w:rsidR="005B4A57" w:rsidRPr="00812723" w:rsidRDefault="005B4A57" w:rsidP="004D3677">
      <w:pPr>
        <w:jc w:val="both"/>
      </w:pPr>
      <w:r>
        <w:t>Finally, Dr. Russell provided the Board with a Comprehensive Campaign Update based on the efforts and contributions of MPK&amp;D, and outlined some of TWU’s outreach efforts.</w:t>
      </w:r>
    </w:p>
    <w:p w14:paraId="37D3815F" w14:textId="77777777" w:rsidR="00A47211" w:rsidRPr="00812723" w:rsidRDefault="00A47211" w:rsidP="004D3677">
      <w:pPr>
        <w:jc w:val="both"/>
        <w:rPr>
          <w:b/>
        </w:rPr>
      </w:pPr>
    </w:p>
    <w:p w14:paraId="4816EBDC" w14:textId="0B2F3C90" w:rsidR="004D3677" w:rsidRPr="00812723" w:rsidRDefault="00A47211" w:rsidP="004D3677">
      <w:pPr>
        <w:jc w:val="both"/>
        <w:rPr>
          <w:b/>
        </w:rPr>
      </w:pPr>
      <w:r w:rsidRPr="00812723">
        <w:rPr>
          <w:b/>
        </w:rPr>
        <w:t xml:space="preserve">Item B. </w:t>
      </w:r>
      <w:r w:rsidR="005B4A57">
        <w:t>Summer and Fall 2019 Enrollment Report</w:t>
      </w:r>
    </w:p>
    <w:p w14:paraId="3263224D" w14:textId="77777777" w:rsidR="004D3677" w:rsidRPr="00812723" w:rsidRDefault="004D3677" w:rsidP="004D3677">
      <w:pPr>
        <w:jc w:val="both"/>
      </w:pPr>
    </w:p>
    <w:p w14:paraId="49FC7177" w14:textId="77777777" w:rsidR="005B4A57" w:rsidRDefault="005B4A57" w:rsidP="005B4A57">
      <w:pPr>
        <w:jc w:val="both"/>
      </w:pPr>
      <w:r>
        <w:t>Dr. Randall Langston presented the current enrollment numbers for TWU’s summer and fall enrollment for 2019, including the enrollment status for first-time-in-college students, transfer, and graduate populations.</w:t>
      </w:r>
    </w:p>
    <w:p w14:paraId="37EFEE91" w14:textId="77777777" w:rsidR="00162424" w:rsidRDefault="00162424" w:rsidP="005B4A57">
      <w:pPr>
        <w:jc w:val="both"/>
      </w:pPr>
    </w:p>
    <w:p w14:paraId="393A289C" w14:textId="77777777" w:rsidR="00227F30" w:rsidRDefault="00162424" w:rsidP="005B4A57">
      <w:pPr>
        <w:jc w:val="both"/>
      </w:pPr>
      <w:r>
        <w:t>Dr. Langston noted that TWU is up 27% in new student enrollment from 2017-2019</w:t>
      </w:r>
      <w:r w:rsidR="003D4D3F">
        <w:t>, and provided a breakdown of the enrollment numbers for graduate and transfer students</w:t>
      </w:r>
      <w:r>
        <w:t>.</w:t>
      </w:r>
    </w:p>
    <w:p w14:paraId="0CC97C44" w14:textId="77777777" w:rsidR="00227F30" w:rsidRDefault="00227F30" w:rsidP="005B4A57">
      <w:pPr>
        <w:jc w:val="both"/>
      </w:pPr>
    </w:p>
    <w:p w14:paraId="740F6838" w14:textId="0E1E33E4" w:rsidR="00227F30" w:rsidRPr="00812723" w:rsidRDefault="00227F30" w:rsidP="005B4A57">
      <w:pPr>
        <w:jc w:val="both"/>
      </w:pPr>
      <w:r>
        <w:t xml:space="preserve">In the future, the Enrollment Office will be transitioning from print to digital viewbooks, implementing a virtual campus tour for students who cannot visit the campus personally for a tour, and introducing a new CRM in fall 2020. Financial Aid has implemented digital scanning of documents to expedite processing and Undergraduate Admissions is transitioning into a “territory management” approach in recruitment of students. This will include a much more business focused approach with special attention to goals, </w:t>
      </w:r>
      <w:r>
        <w:lastRenderedPageBreak/>
        <w:t>benchmarking, and outcomes in each recruitment zone.</w:t>
      </w:r>
    </w:p>
    <w:p w14:paraId="4BE43298" w14:textId="77777777" w:rsidR="005922AC" w:rsidRDefault="005922AC" w:rsidP="004D3677">
      <w:pPr>
        <w:jc w:val="both"/>
      </w:pPr>
    </w:p>
    <w:p w14:paraId="1E99E903" w14:textId="77777777" w:rsidR="005922AC" w:rsidRPr="00812723" w:rsidRDefault="005922AC" w:rsidP="005922AC">
      <w:pPr>
        <w:jc w:val="both"/>
        <w:rPr>
          <w:b/>
        </w:rPr>
      </w:pPr>
      <w:r>
        <w:rPr>
          <w:b/>
        </w:rPr>
        <w:t>Item C</w:t>
      </w:r>
      <w:r w:rsidRPr="00812723">
        <w:rPr>
          <w:b/>
        </w:rPr>
        <w:t xml:space="preserve">. </w:t>
      </w:r>
      <w:r>
        <w:t>Capital Construction Project Report</w:t>
      </w:r>
    </w:p>
    <w:p w14:paraId="118CCEA4" w14:textId="77777777" w:rsidR="005922AC" w:rsidRPr="00812723" w:rsidRDefault="005922AC" w:rsidP="005922AC">
      <w:pPr>
        <w:jc w:val="both"/>
      </w:pPr>
    </w:p>
    <w:p w14:paraId="0C75CF2F" w14:textId="319F0FBD" w:rsidR="005922AC" w:rsidRDefault="00724F41" w:rsidP="004D3677">
      <w:pPr>
        <w:jc w:val="both"/>
      </w:pPr>
      <w:r w:rsidRPr="00724F41">
        <w:t>Mr. Rob Ramirez</w:t>
      </w:r>
      <w:r w:rsidR="000C4F09">
        <w:t xml:space="preserve"> provided the Board with an update on current construction projects at the University including the Science and Technology Learning Center, the P3 Project, including Student Housing and the Dining Facility, the Renovation of Old Main Building</w:t>
      </w:r>
      <w:r w:rsidR="004C2510">
        <w:t xml:space="preserve">, updates to the theatrical lighting for the Margo Jones building, </w:t>
      </w:r>
      <w:r w:rsidR="009D4086">
        <w:t xml:space="preserve">and </w:t>
      </w:r>
      <w:r w:rsidR="004C2510">
        <w:t>east campus parking,</w:t>
      </w:r>
      <w:r w:rsidR="000C4F09">
        <w:t xml:space="preserve"> all of which are being completed on time or ahead of schedule</w:t>
      </w:r>
      <w:r w:rsidR="004C2510">
        <w:t xml:space="preserve"> and within budget</w:t>
      </w:r>
      <w:r w:rsidR="000C4F09">
        <w:t>.</w:t>
      </w:r>
    </w:p>
    <w:p w14:paraId="3E2B8DAB" w14:textId="77777777" w:rsidR="009D4086" w:rsidRDefault="009D4086" w:rsidP="004D3677">
      <w:pPr>
        <w:jc w:val="both"/>
      </w:pPr>
    </w:p>
    <w:p w14:paraId="27E6A1F4" w14:textId="1FE2F6FD" w:rsidR="009D4086" w:rsidRDefault="009D4086" w:rsidP="004D3677">
      <w:pPr>
        <w:jc w:val="both"/>
      </w:pPr>
      <w:r>
        <w:t>Additionally, Mr. Ramirez noted that the University is about to being working on renovations for Jones Hall.</w:t>
      </w:r>
    </w:p>
    <w:p w14:paraId="765AD320" w14:textId="77777777" w:rsidR="00D360A3" w:rsidRDefault="00D360A3" w:rsidP="004D3677">
      <w:pPr>
        <w:jc w:val="both"/>
      </w:pPr>
    </w:p>
    <w:p w14:paraId="7CD36112" w14:textId="249FCC26" w:rsidR="00D360A3" w:rsidRPr="00812723" w:rsidRDefault="005922AC" w:rsidP="00D360A3">
      <w:pPr>
        <w:jc w:val="both"/>
        <w:rPr>
          <w:b/>
        </w:rPr>
      </w:pPr>
      <w:r>
        <w:rPr>
          <w:b/>
        </w:rPr>
        <w:t>Item D</w:t>
      </w:r>
      <w:r w:rsidR="00D360A3" w:rsidRPr="00812723">
        <w:rPr>
          <w:b/>
        </w:rPr>
        <w:t xml:space="preserve">. </w:t>
      </w:r>
      <w:r w:rsidR="00D360A3">
        <w:t>Quarterly Status Report of the Office of Audit Services</w:t>
      </w:r>
      <w:r w:rsidR="0060052F">
        <w:t xml:space="preserve"> and Recommended Approval of</w:t>
      </w:r>
      <w:r w:rsidR="004C2510">
        <w:t xml:space="preserve"> Fiscal Year</w:t>
      </w:r>
      <w:r w:rsidR="0060052F">
        <w:t xml:space="preserve"> </w:t>
      </w:r>
      <w:r w:rsidR="004C2510">
        <w:t>2020 Audit Plan</w:t>
      </w:r>
    </w:p>
    <w:p w14:paraId="543FFBA7" w14:textId="77777777" w:rsidR="00D360A3" w:rsidRPr="00812723" w:rsidRDefault="00D360A3" w:rsidP="00D360A3">
      <w:pPr>
        <w:jc w:val="both"/>
      </w:pPr>
    </w:p>
    <w:p w14:paraId="1562729B" w14:textId="751F1FCE" w:rsidR="00D360A3" w:rsidRDefault="005922AC" w:rsidP="00D360A3">
      <w:pPr>
        <w:jc w:val="both"/>
      </w:pPr>
      <w:r>
        <w:t>Mr. Ali Subhani, Director of the Office of Audit Services, provided a briefing to the Board of Regents on the activity of the Office of Audit Services for the 4</w:t>
      </w:r>
      <w:r w:rsidRPr="005922AC">
        <w:rPr>
          <w:vertAlign w:val="superscript"/>
        </w:rPr>
        <w:t>th</w:t>
      </w:r>
      <w:r>
        <w:t xml:space="preserve"> quarter of fiscal year 2019</w:t>
      </w:r>
      <w:r w:rsidR="007731F5">
        <w:t>, giving a high overview of two recently completed Audits, one over Executive Travel and Entertainment expenditures and the other related to the Center for Research and Design Analysis</w:t>
      </w:r>
      <w:r>
        <w:t>.</w:t>
      </w:r>
      <w:r w:rsidR="003B2803">
        <w:t xml:space="preserve"> Both audits revealed the need to strengthen some policies and procedures related to each of the subject areas.</w:t>
      </w:r>
    </w:p>
    <w:p w14:paraId="7C905547" w14:textId="77777777" w:rsidR="005922AC" w:rsidRDefault="005922AC" w:rsidP="00D360A3">
      <w:pPr>
        <w:jc w:val="both"/>
      </w:pPr>
    </w:p>
    <w:p w14:paraId="48247D47" w14:textId="4D7867E6" w:rsidR="005922AC" w:rsidRDefault="005922AC" w:rsidP="00D360A3">
      <w:pPr>
        <w:jc w:val="both"/>
      </w:pPr>
      <w:r>
        <w:t>Additionally, Mr. Subhani</w:t>
      </w:r>
      <w:r w:rsidR="0060052F">
        <w:t xml:space="preserve"> requested that the Board approve the </w:t>
      </w:r>
      <w:r w:rsidR="00E65701">
        <w:t>2020 Audit Plan</w:t>
      </w:r>
      <w:r w:rsidR="007731F5">
        <w:t>, and outlined for the Board how areas for audit are selected for the Audit Plan</w:t>
      </w:r>
      <w:r w:rsidR="00E65701">
        <w:t>.</w:t>
      </w:r>
      <w:r w:rsidR="001648BD">
        <w:t xml:space="preserve"> The Audit Plan proposes ten</w:t>
      </w:r>
      <w:r w:rsidR="007731F5">
        <w:t xml:space="preserve"> planned audits of risk based activities at the University.</w:t>
      </w:r>
    </w:p>
    <w:p w14:paraId="127FB7E3" w14:textId="77777777" w:rsidR="00460731" w:rsidRDefault="00460731" w:rsidP="00D360A3">
      <w:pPr>
        <w:jc w:val="both"/>
      </w:pPr>
    </w:p>
    <w:p w14:paraId="48BE4CCA" w14:textId="524E081B" w:rsidR="00460731" w:rsidRPr="00460731" w:rsidRDefault="00460731" w:rsidP="00D360A3">
      <w:pPr>
        <w:jc w:val="both"/>
        <w:rPr>
          <w:b/>
        </w:rPr>
      </w:pPr>
      <w:r w:rsidRPr="00812723">
        <w:rPr>
          <w:b/>
          <w:u w:val="single"/>
        </w:rPr>
        <w:t>Motion to Move Approval of Item to Consent Agenda:</w:t>
      </w:r>
      <w:r w:rsidRPr="00812723">
        <w:t xml:space="preserve"> Regent </w:t>
      </w:r>
      <w:r w:rsidR="00B20F29">
        <w:rPr>
          <w:b/>
        </w:rPr>
        <w:t>Wilson</w:t>
      </w:r>
      <w:r w:rsidRPr="00812723">
        <w:t xml:space="preserve"> motioned and Regent </w:t>
      </w:r>
      <w:r w:rsidR="00B20F29">
        <w:rPr>
          <w:b/>
        </w:rPr>
        <w:t>Hyde</w:t>
      </w:r>
      <w:r w:rsidRPr="00812723" w:rsidDel="00C44820">
        <w:t xml:space="preserve"> </w:t>
      </w:r>
      <w:r w:rsidRPr="00812723">
        <w:t>seconded. The motion passed with a vote of</w:t>
      </w:r>
      <w:r w:rsidR="00B20F29">
        <w:rPr>
          <w:b/>
        </w:rPr>
        <w:t xml:space="preserve"> 4</w:t>
      </w:r>
      <w:r w:rsidRPr="00812723">
        <w:rPr>
          <w:b/>
        </w:rPr>
        <w:t>-0-0.</w:t>
      </w:r>
    </w:p>
    <w:p w14:paraId="170DEA2E" w14:textId="77777777" w:rsidR="00D360A3" w:rsidRDefault="00D360A3" w:rsidP="00D360A3">
      <w:pPr>
        <w:jc w:val="both"/>
      </w:pPr>
    </w:p>
    <w:p w14:paraId="5DAF5882" w14:textId="43B21E84" w:rsidR="00D360A3" w:rsidRPr="00812723" w:rsidRDefault="00D360A3" w:rsidP="00D360A3">
      <w:pPr>
        <w:jc w:val="both"/>
        <w:rPr>
          <w:b/>
        </w:rPr>
      </w:pPr>
      <w:r>
        <w:rPr>
          <w:b/>
        </w:rPr>
        <w:t>Item E</w:t>
      </w:r>
      <w:r w:rsidRPr="00812723">
        <w:rPr>
          <w:b/>
        </w:rPr>
        <w:t xml:space="preserve">. </w:t>
      </w:r>
      <w:r>
        <w:t>Recommended Approval of Funds for the Design and Construction of the Bookstore Expansion and Delegation of Contract Authority for the Bookstore Renovations on the Denton Campus</w:t>
      </w:r>
    </w:p>
    <w:p w14:paraId="2AE34FD7" w14:textId="77777777" w:rsidR="00D360A3" w:rsidRPr="00812723" w:rsidRDefault="00D360A3" w:rsidP="00D360A3">
      <w:pPr>
        <w:jc w:val="both"/>
      </w:pPr>
    </w:p>
    <w:p w14:paraId="601340F1" w14:textId="154143C1" w:rsidR="00D360A3" w:rsidRDefault="00E87C3B" w:rsidP="00D360A3">
      <w:pPr>
        <w:jc w:val="both"/>
      </w:pPr>
      <w:r>
        <w:t>Mr. Jason Tomlinson requested that the Board approve the use of $1.5 million for the expansion and renovation of the bookstore in Brackenridge Hall on the TWU Denton Campus as well as the delegation of contract authority to the Chancellor to negotiate and execute the upcoming design and construction contracts to expand and renovate the bookstore.</w:t>
      </w:r>
    </w:p>
    <w:p w14:paraId="03D110BE" w14:textId="77777777" w:rsidR="00E87C3B" w:rsidRDefault="00E87C3B" w:rsidP="00D360A3">
      <w:pPr>
        <w:jc w:val="both"/>
      </w:pPr>
    </w:p>
    <w:p w14:paraId="067C0365" w14:textId="0F52C2E7" w:rsidR="00E87C3B" w:rsidRDefault="00E87C3B" w:rsidP="00D360A3">
      <w:pPr>
        <w:jc w:val="both"/>
      </w:pPr>
      <w:r>
        <w:t xml:space="preserve">Mr. Tomlinson noted that the </w:t>
      </w:r>
      <w:r w:rsidRPr="002D4F57">
        <w:t>TWU Denton campus has a need to expand and renovate the existing bookstore, which is currently on two levels in Brackenridge Hall. The existing Bookstore has not changed its footprint in at least 25 years. Since that time, TWU enrollment has doubled and there has been an increase in the number of employees who work at the university. The proposed project will program and design the remodel which includes the exiting Bookstore and the Center for Student Development (both located in Brackenridge Hall).  In addition, the renovation will allow for greater access to those who have mobility concerns as the renovation will combine text</w:t>
      </w:r>
      <w:r>
        <w:t xml:space="preserve">books with merchandise sales onto </w:t>
      </w:r>
      <w:r w:rsidRPr="002D4F57">
        <w:t>one floor.</w:t>
      </w:r>
    </w:p>
    <w:p w14:paraId="6E5E38A2" w14:textId="77777777" w:rsidR="00E87C3B" w:rsidRDefault="00E87C3B" w:rsidP="00D360A3">
      <w:pPr>
        <w:jc w:val="both"/>
      </w:pPr>
    </w:p>
    <w:p w14:paraId="2FAF9EFB" w14:textId="0ADB834C" w:rsidR="00E87C3B" w:rsidRPr="00812723" w:rsidRDefault="00E87C3B" w:rsidP="00D360A3">
      <w:pPr>
        <w:jc w:val="both"/>
      </w:pPr>
      <w:r>
        <w:t>Finally, Mr. Tomlinson noted Follett, the company running the Bookstore, would pay $355,000.00 of the $1.5 million cost.</w:t>
      </w:r>
    </w:p>
    <w:p w14:paraId="28661047" w14:textId="77777777" w:rsidR="00A47211" w:rsidRPr="00812723" w:rsidRDefault="00A47211" w:rsidP="004D3677">
      <w:pPr>
        <w:jc w:val="both"/>
        <w:rPr>
          <w:b/>
        </w:rPr>
      </w:pPr>
    </w:p>
    <w:p w14:paraId="6E8B34AE" w14:textId="7C22CC93" w:rsidR="004D3677" w:rsidRPr="00812723" w:rsidRDefault="004D3677" w:rsidP="004D3677">
      <w:pPr>
        <w:jc w:val="both"/>
        <w:rPr>
          <w:b/>
        </w:rPr>
      </w:pPr>
      <w:r w:rsidRPr="00812723">
        <w:rPr>
          <w:b/>
          <w:u w:val="single"/>
        </w:rPr>
        <w:t xml:space="preserve">Motion to </w:t>
      </w:r>
      <w:r w:rsidR="00F95245" w:rsidRPr="00812723">
        <w:rPr>
          <w:b/>
          <w:u w:val="single"/>
        </w:rPr>
        <w:t>Move Approval of Item to</w:t>
      </w:r>
      <w:r w:rsidRPr="00812723">
        <w:rPr>
          <w:b/>
          <w:u w:val="single"/>
        </w:rPr>
        <w:t xml:space="preserve"> Consent Agenda:</w:t>
      </w:r>
      <w:r w:rsidRPr="00812723">
        <w:t xml:space="preserve"> Regent </w:t>
      </w:r>
      <w:r w:rsidR="00764A32">
        <w:rPr>
          <w:b/>
        </w:rPr>
        <w:t>Hyde</w:t>
      </w:r>
      <w:r w:rsidRPr="00812723">
        <w:t xml:space="preserve"> motioned and Regent </w:t>
      </w:r>
      <w:r w:rsidR="00764A32">
        <w:rPr>
          <w:b/>
        </w:rPr>
        <w:t>Wilson</w:t>
      </w:r>
      <w:r w:rsidRPr="00812723" w:rsidDel="00C44820">
        <w:t xml:space="preserve"> </w:t>
      </w:r>
      <w:r w:rsidRPr="00812723">
        <w:t>seconded. The motion passed with a vote of</w:t>
      </w:r>
      <w:r w:rsidR="00764A32">
        <w:rPr>
          <w:b/>
        </w:rPr>
        <w:t xml:space="preserve"> 4</w:t>
      </w:r>
      <w:r w:rsidRPr="00812723">
        <w:rPr>
          <w:b/>
        </w:rPr>
        <w:t>-0-0.</w:t>
      </w:r>
    </w:p>
    <w:p w14:paraId="6D70DC96" w14:textId="77777777" w:rsidR="00BD2EA5" w:rsidRDefault="00BD2EA5" w:rsidP="004D3677">
      <w:pPr>
        <w:jc w:val="both"/>
        <w:rPr>
          <w:b/>
        </w:rPr>
      </w:pPr>
    </w:p>
    <w:p w14:paraId="1EB387E8" w14:textId="01606C3D" w:rsidR="00D360A3" w:rsidRPr="00812723" w:rsidRDefault="00D360A3" w:rsidP="00D360A3">
      <w:pPr>
        <w:jc w:val="both"/>
        <w:rPr>
          <w:b/>
        </w:rPr>
      </w:pPr>
      <w:r>
        <w:rPr>
          <w:b/>
        </w:rPr>
        <w:t>Item F</w:t>
      </w:r>
      <w:r w:rsidRPr="00812723">
        <w:rPr>
          <w:b/>
        </w:rPr>
        <w:t xml:space="preserve">. </w:t>
      </w:r>
      <w:r>
        <w:t>Recommended</w:t>
      </w:r>
      <w:r w:rsidR="0087364D">
        <w:t xml:space="preserve"> Approval</w:t>
      </w:r>
      <w:r>
        <w:t xml:space="preserve"> of Funds for the Design and Construction of a New Sports Building on the Denton Campus</w:t>
      </w:r>
    </w:p>
    <w:p w14:paraId="68719350" w14:textId="77777777" w:rsidR="00D360A3" w:rsidRPr="00812723" w:rsidRDefault="00D360A3" w:rsidP="00D360A3">
      <w:pPr>
        <w:jc w:val="both"/>
      </w:pPr>
    </w:p>
    <w:p w14:paraId="682D6191" w14:textId="7D24B976" w:rsidR="00D360A3" w:rsidRDefault="00E87C3B" w:rsidP="00D360A3">
      <w:pPr>
        <w:jc w:val="both"/>
      </w:pPr>
      <w:r>
        <w:t>Mr. Jason Tomlinson requested that the Board approve the use of $11.5 million for the design and construction of the New Sports Building on Texas Woman’s University (TWU) Denton Campus as well as the delegation of contract authority to the Chancellor to negotiate and execute the upcoming design and construction contracts for the New Sports Building.</w:t>
      </w:r>
    </w:p>
    <w:p w14:paraId="335D5340" w14:textId="77777777" w:rsidR="00E87C3B" w:rsidRDefault="00E87C3B" w:rsidP="00D360A3">
      <w:pPr>
        <w:jc w:val="both"/>
      </w:pPr>
    </w:p>
    <w:p w14:paraId="6B20A357" w14:textId="7C5441D4" w:rsidR="00E87C3B" w:rsidRPr="00812723" w:rsidRDefault="00E87C3B" w:rsidP="00D360A3">
      <w:pPr>
        <w:jc w:val="both"/>
      </w:pPr>
      <w:r>
        <w:t>He noted that the TWU Denton campus has been expanding its footprint east with a new athletics complex district.  An essential element to this concept which was previously identified in the master plan, was the need for a new sports facility that could support the needs of the athletic teams that are utilizing the outdoor fields, potential competitive sports programs in development, and the needs of Pioneer Hall and the relocated intramural field.</w:t>
      </w:r>
    </w:p>
    <w:p w14:paraId="3004DB08" w14:textId="77777777" w:rsidR="00D360A3" w:rsidRPr="00812723" w:rsidRDefault="00D360A3" w:rsidP="00D360A3">
      <w:pPr>
        <w:jc w:val="both"/>
        <w:rPr>
          <w:b/>
        </w:rPr>
      </w:pPr>
    </w:p>
    <w:p w14:paraId="45539633" w14:textId="34171173" w:rsidR="00D360A3" w:rsidRPr="00812723" w:rsidRDefault="00D360A3" w:rsidP="00D360A3">
      <w:pPr>
        <w:jc w:val="both"/>
        <w:rPr>
          <w:b/>
        </w:rPr>
      </w:pPr>
      <w:r w:rsidRPr="00812723">
        <w:rPr>
          <w:b/>
          <w:u w:val="single"/>
        </w:rPr>
        <w:t>Motion to Move Approval of Item to Consent Agenda:</w:t>
      </w:r>
      <w:r w:rsidRPr="00812723">
        <w:t xml:space="preserve"> Regent </w:t>
      </w:r>
      <w:r w:rsidR="00061472">
        <w:rPr>
          <w:b/>
        </w:rPr>
        <w:t>Hyde</w:t>
      </w:r>
      <w:r w:rsidRPr="00812723">
        <w:t xml:space="preserve"> motioned and Regent </w:t>
      </w:r>
      <w:r w:rsidR="00061472">
        <w:rPr>
          <w:b/>
        </w:rPr>
        <w:t>Wilson</w:t>
      </w:r>
      <w:r w:rsidRPr="00812723" w:rsidDel="00C44820">
        <w:t xml:space="preserve"> </w:t>
      </w:r>
      <w:r w:rsidRPr="00812723">
        <w:t>seconded. The motion passed with a vote of</w:t>
      </w:r>
      <w:r w:rsidR="00061472">
        <w:rPr>
          <w:b/>
        </w:rPr>
        <w:t xml:space="preserve"> 4</w:t>
      </w:r>
      <w:r w:rsidRPr="00812723">
        <w:rPr>
          <w:b/>
        </w:rPr>
        <w:t>-0-0.</w:t>
      </w:r>
    </w:p>
    <w:p w14:paraId="62E8F95E" w14:textId="77777777" w:rsidR="00D360A3" w:rsidRDefault="00D360A3" w:rsidP="004D3677">
      <w:pPr>
        <w:jc w:val="both"/>
        <w:rPr>
          <w:b/>
        </w:rPr>
      </w:pPr>
    </w:p>
    <w:p w14:paraId="0C9C3CEF" w14:textId="3C8A10AD" w:rsidR="00D360A3" w:rsidRPr="00812723" w:rsidRDefault="00D360A3" w:rsidP="00D360A3">
      <w:pPr>
        <w:jc w:val="both"/>
        <w:rPr>
          <w:b/>
        </w:rPr>
      </w:pPr>
      <w:r>
        <w:rPr>
          <w:b/>
        </w:rPr>
        <w:t>Item G</w:t>
      </w:r>
      <w:r w:rsidRPr="00812723">
        <w:rPr>
          <w:b/>
        </w:rPr>
        <w:t xml:space="preserve">. </w:t>
      </w:r>
      <w:r>
        <w:t>Recommended Approval of the Delegation of Contract Authority to the Vice President of Finance and Administration to Negotiate and Execute an Amendment for the Natural Gas Purchase on the Denton Campus</w:t>
      </w:r>
    </w:p>
    <w:p w14:paraId="60DA4F53" w14:textId="77777777" w:rsidR="00D360A3" w:rsidRPr="00812723" w:rsidRDefault="00D360A3" w:rsidP="00D360A3">
      <w:pPr>
        <w:jc w:val="both"/>
      </w:pPr>
    </w:p>
    <w:p w14:paraId="1492CBED" w14:textId="77777777" w:rsidR="00EA32B3" w:rsidRDefault="00E87C3B" w:rsidP="00D360A3">
      <w:pPr>
        <w:jc w:val="both"/>
      </w:pPr>
      <w:r>
        <w:t xml:space="preserve">Mr. Jason Tomlinson and Mr. Rob Ramirez, Associate Vice President for Facilities Management and Construction recommended the Board delegate contract authority to the Vice President for Finance and Administration to </w:t>
      </w:r>
      <w:r w:rsidR="00EA32B3">
        <w:t>negotiate and execute an</w:t>
      </w:r>
      <w:r>
        <w:t xml:space="preserve"> amendment </w:t>
      </w:r>
      <w:r w:rsidR="00EA32B3">
        <w:t xml:space="preserve">with the Texas General Land Office </w:t>
      </w:r>
      <w:r>
        <w:t>for a natural gas purchase on the Denton Campus</w:t>
      </w:r>
      <w:r w:rsidR="00EA32B3">
        <w:t>.</w:t>
      </w:r>
    </w:p>
    <w:p w14:paraId="242A0673" w14:textId="77777777" w:rsidR="00EA32B3" w:rsidRDefault="00EA32B3" w:rsidP="00D360A3">
      <w:pPr>
        <w:jc w:val="both"/>
      </w:pPr>
    </w:p>
    <w:p w14:paraId="4738C6AD" w14:textId="77777777" w:rsidR="00EA32B3" w:rsidRDefault="00EA32B3" w:rsidP="00D360A3">
      <w:pPr>
        <w:jc w:val="both"/>
      </w:pPr>
      <w:r>
        <w:t>He noted that the current natural gas contract expires on August 31, 2019 for the Denton campus, and it is critical that an amendment extending our agreement for an additional two years be executed.  The new expiration date will be August 31, 2021.</w:t>
      </w:r>
    </w:p>
    <w:p w14:paraId="4B0362DB" w14:textId="77777777" w:rsidR="00EA32B3" w:rsidRDefault="00EA32B3" w:rsidP="00D360A3">
      <w:pPr>
        <w:jc w:val="both"/>
      </w:pPr>
    </w:p>
    <w:p w14:paraId="32220D54" w14:textId="7302B7B8" w:rsidR="00D360A3" w:rsidRPr="00812723" w:rsidRDefault="00EA32B3" w:rsidP="00D360A3">
      <w:pPr>
        <w:jc w:val="both"/>
      </w:pPr>
      <w:r>
        <w:t>Finally, Mr. Tomlinson noted that the total natural gas expenses over the term of the agreement are expected to increase by an average of $0.53 per MMBtu over the term of the amendment. TWU’s current rate, excluding utility transmission charges and other fees, is $3.40.  The anticipated rate being negotiated is currently $3.93, which may fluctuate slightly prior to contract execution. The total cost increase is expected to range from $145,278 - $199,468.  Despite this price increase, TWU’s agreement with the General Land Office provides an overall savings of 26.5% from the general large customer rate estimated from TWU’s local provider, currently at $5.35 per MMBtu.</w:t>
      </w:r>
      <w:r w:rsidR="00E87C3B">
        <w:t xml:space="preserve"> </w:t>
      </w:r>
    </w:p>
    <w:p w14:paraId="5F6611C0" w14:textId="77777777" w:rsidR="00D360A3" w:rsidRPr="00812723" w:rsidRDefault="00D360A3" w:rsidP="00D360A3">
      <w:pPr>
        <w:jc w:val="both"/>
        <w:rPr>
          <w:b/>
        </w:rPr>
      </w:pPr>
    </w:p>
    <w:p w14:paraId="69C3E277" w14:textId="5A2A0E9B" w:rsidR="00D360A3" w:rsidRPr="00812723" w:rsidRDefault="00D360A3" w:rsidP="00D360A3">
      <w:pPr>
        <w:jc w:val="both"/>
        <w:rPr>
          <w:b/>
        </w:rPr>
      </w:pPr>
      <w:r w:rsidRPr="00812723">
        <w:rPr>
          <w:b/>
          <w:u w:val="single"/>
        </w:rPr>
        <w:t>Motion to Move Approval of Item to Consent Agenda:</w:t>
      </w:r>
      <w:r w:rsidRPr="00812723">
        <w:t xml:space="preserve"> Regent </w:t>
      </w:r>
      <w:r w:rsidR="00D477F4">
        <w:rPr>
          <w:b/>
        </w:rPr>
        <w:t>Hyde</w:t>
      </w:r>
      <w:r w:rsidRPr="00812723">
        <w:t xml:space="preserve"> motioned and Regent </w:t>
      </w:r>
      <w:r w:rsidR="00D477F4">
        <w:rPr>
          <w:b/>
        </w:rPr>
        <w:t>Wilson</w:t>
      </w:r>
      <w:r w:rsidRPr="00812723" w:rsidDel="00C44820">
        <w:t xml:space="preserve"> </w:t>
      </w:r>
      <w:r w:rsidRPr="00812723">
        <w:t>seconded. The motion passed with a vote of</w:t>
      </w:r>
      <w:r w:rsidR="00D477F4">
        <w:rPr>
          <w:b/>
        </w:rPr>
        <w:t xml:space="preserve"> 4</w:t>
      </w:r>
      <w:r w:rsidRPr="00812723">
        <w:rPr>
          <w:b/>
        </w:rPr>
        <w:t>-0-0.</w:t>
      </w:r>
    </w:p>
    <w:p w14:paraId="32B609A1" w14:textId="77777777" w:rsidR="00D360A3" w:rsidRDefault="00D360A3" w:rsidP="004D3677">
      <w:pPr>
        <w:jc w:val="both"/>
        <w:rPr>
          <w:b/>
        </w:rPr>
      </w:pPr>
    </w:p>
    <w:p w14:paraId="4E957281" w14:textId="41E9AA1E" w:rsidR="00D360A3" w:rsidRPr="00812723" w:rsidRDefault="00D360A3" w:rsidP="00D360A3">
      <w:pPr>
        <w:jc w:val="both"/>
        <w:rPr>
          <w:b/>
        </w:rPr>
      </w:pPr>
      <w:r>
        <w:rPr>
          <w:b/>
        </w:rPr>
        <w:t>Item H</w:t>
      </w:r>
      <w:r w:rsidRPr="00812723">
        <w:rPr>
          <w:b/>
        </w:rPr>
        <w:t xml:space="preserve">. </w:t>
      </w:r>
      <w:r>
        <w:t>Recommended Approval of the Name Change of Mary Eleanor Brackenridge Hall Student Center to Mary Eleanor Brackenridge Hall Student Center Annex</w:t>
      </w:r>
    </w:p>
    <w:p w14:paraId="5656ADC2" w14:textId="77777777" w:rsidR="00D360A3" w:rsidRPr="00812723" w:rsidRDefault="00D360A3" w:rsidP="00D360A3">
      <w:pPr>
        <w:jc w:val="both"/>
      </w:pPr>
    </w:p>
    <w:p w14:paraId="6FB517E0" w14:textId="174F42D7" w:rsidR="00EA32B3" w:rsidRDefault="00EA32B3" w:rsidP="00D360A3">
      <w:pPr>
        <w:jc w:val="both"/>
      </w:pPr>
      <w:r>
        <w:t>Mr. Tomlinson and Dr. Monica Mendez-Grant recommended that the Board approve a name change of Mary Eleanor Brackenridge Hall Student Center to Mary Eleanor Brackenridge Hall Student Center Annex.</w:t>
      </w:r>
    </w:p>
    <w:p w14:paraId="5AC13AFF" w14:textId="7765CBFB" w:rsidR="00EA32B3" w:rsidRDefault="00EA32B3" w:rsidP="00EA32B3">
      <w:pPr>
        <w:pStyle w:val="catbody"/>
        <w:shd w:val="clear" w:color="auto" w:fill="FFFFFF"/>
        <w:spacing w:after="300"/>
        <w:textAlignment w:val="baseline"/>
      </w:pPr>
      <w:r>
        <w:lastRenderedPageBreak/>
        <w:t>Dr. Mendez-Grant explained that the advantage of an annex would allow the University to assist in supporting potential renovations and existing operations of the building.</w:t>
      </w:r>
    </w:p>
    <w:p w14:paraId="184AE019" w14:textId="7BFAE9CE" w:rsidR="00D360A3" w:rsidRPr="00812723" w:rsidRDefault="00D360A3" w:rsidP="00D360A3">
      <w:pPr>
        <w:jc w:val="both"/>
        <w:rPr>
          <w:b/>
        </w:rPr>
      </w:pPr>
      <w:r w:rsidRPr="00812723">
        <w:rPr>
          <w:b/>
          <w:u w:val="single"/>
        </w:rPr>
        <w:t>Motion to Move Approval of Item to Consent Agenda:</w:t>
      </w:r>
      <w:r w:rsidRPr="00812723">
        <w:t xml:space="preserve"> Regent </w:t>
      </w:r>
      <w:r w:rsidR="007A38EA">
        <w:rPr>
          <w:b/>
        </w:rPr>
        <w:t>Wilson</w:t>
      </w:r>
      <w:r w:rsidRPr="00812723">
        <w:t xml:space="preserve"> motioned and Regent </w:t>
      </w:r>
      <w:r w:rsidR="007A38EA">
        <w:rPr>
          <w:b/>
        </w:rPr>
        <w:t>Hyde</w:t>
      </w:r>
      <w:r w:rsidRPr="00812723" w:rsidDel="00C44820">
        <w:t xml:space="preserve"> </w:t>
      </w:r>
      <w:r w:rsidRPr="00812723">
        <w:t>seconded. The motion passed with a vote of</w:t>
      </w:r>
      <w:r w:rsidR="007A38EA">
        <w:rPr>
          <w:b/>
        </w:rPr>
        <w:t xml:space="preserve"> 4</w:t>
      </w:r>
      <w:r w:rsidRPr="00812723">
        <w:rPr>
          <w:b/>
        </w:rPr>
        <w:t>-0-0.</w:t>
      </w:r>
    </w:p>
    <w:p w14:paraId="1AD3E8C4" w14:textId="77777777" w:rsidR="00D360A3" w:rsidRDefault="00D360A3" w:rsidP="004D3677">
      <w:pPr>
        <w:jc w:val="both"/>
        <w:rPr>
          <w:b/>
        </w:rPr>
      </w:pPr>
    </w:p>
    <w:p w14:paraId="5A42F45B" w14:textId="1D81B916" w:rsidR="00D360A3" w:rsidRPr="00812723" w:rsidRDefault="00D360A3" w:rsidP="00D360A3">
      <w:pPr>
        <w:jc w:val="both"/>
        <w:rPr>
          <w:b/>
        </w:rPr>
      </w:pPr>
      <w:r>
        <w:rPr>
          <w:b/>
        </w:rPr>
        <w:t>Item I</w:t>
      </w:r>
      <w:r w:rsidRPr="00812723">
        <w:rPr>
          <w:b/>
        </w:rPr>
        <w:t xml:space="preserve">. </w:t>
      </w:r>
      <w:r>
        <w:t>Recommended Approval of the TWU Investment Policy, Endowment Investment Policy, and Distribution Policy</w:t>
      </w:r>
    </w:p>
    <w:p w14:paraId="55A51D3A" w14:textId="77777777" w:rsidR="00D360A3" w:rsidRPr="00812723" w:rsidRDefault="00D360A3" w:rsidP="00D360A3">
      <w:pPr>
        <w:jc w:val="both"/>
      </w:pPr>
    </w:p>
    <w:p w14:paraId="3A5F0F90" w14:textId="59A8F0DE" w:rsidR="00D360A3" w:rsidRDefault="00EA32B3" w:rsidP="00D360A3">
      <w:pPr>
        <w:jc w:val="both"/>
      </w:pPr>
      <w:r>
        <w:t>Mr. Jason Tomlinson recommended the approval of a resolution regarding the TWU Investment Policy and Endowment Investment and Distribution Policy.</w:t>
      </w:r>
    </w:p>
    <w:p w14:paraId="40F03187" w14:textId="77777777" w:rsidR="00EA32B3" w:rsidRDefault="00EA32B3" w:rsidP="00D360A3">
      <w:pPr>
        <w:jc w:val="both"/>
      </w:pPr>
    </w:p>
    <w:p w14:paraId="412D52E9" w14:textId="5E176785" w:rsidR="00EA32B3" w:rsidRPr="00812723" w:rsidRDefault="00EA32B3" w:rsidP="00D360A3">
      <w:pPr>
        <w:jc w:val="both"/>
      </w:pPr>
      <w:r>
        <w:t>He explained that the Public Investment Act of the State of Texas (Texas Gov’t Code 2256) requires the governing body of TWU to annually review and adopt a written investment (to include endowed funds) policy outlining the investment strategy, appoint an Investment Officer, and adopt internal controls to safeguard the University’s funds.</w:t>
      </w:r>
    </w:p>
    <w:p w14:paraId="6BE4EAD1" w14:textId="77777777" w:rsidR="00D360A3" w:rsidRPr="00812723" w:rsidRDefault="00D360A3" w:rsidP="00D360A3">
      <w:pPr>
        <w:jc w:val="both"/>
        <w:rPr>
          <w:b/>
        </w:rPr>
      </w:pPr>
    </w:p>
    <w:p w14:paraId="48113628" w14:textId="3D958449" w:rsidR="00D360A3" w:rsidRPr="00812723" w:rsidRDefault="00D360A3" w:rsidP="00D360A3">
      <w:pPr>
        <w:jc w:val="both"/>
        <w:rPr>
          <w:b/>
        </w:rPr>
      </w:pPr>
      <w:r w:rsidRPr="00812723">
        <w:rPr>
          <w:b/>
          <w:u w:val="single"/>
        </w:rPr>
        <w:t>Motion to Move Approval of Item to Consent Agenda:</w:t>
      </w:r>
      <w:r w:rsidRPr="00812723">
        <w:t xml:space="preserve"> Regent </w:t>
      </w:r>
      <w:r w:rsidR="007B4B22">
        <w:rPr>
          <w:b/>
        </w:rPr>
        <w:t>Wilson</w:t>
      </w:r>
      <w:r w:rsidRPr="00812723">
        <w:t xml:space="preserve"> motioned and Regent </w:t>
      </w:r>
      <w:r w:rsidR="007B4B22">
        <w:rPr>
          <w:b/>
        </w:rPr>
        <w:t>Hyde</w:t>
      </w:r>
      <w:r w:rsidRPr="00812723" w:rsidDel="00C44820">
        <w:t xml:space="preserve"> </w:t>
      </w:r>
      <w:r w:rsidRPr="00812723">
        <w:t>seconded. The motion passed with a vote of</w:t>
      </w:r>
      <w:r w:rsidR="007B4B22">
        <w:rPr>
          <w:b/>
        </w:rPr>
        <w:t xml:space="preserve"> 4</w:t>
      </w:r>
      <w:r w:rsidRPr="00812723">
        <w:rPr>
          <w:b/>
        </w:rPr>
        <w:t>-0-0.</w:t>
      </w:r>
    </w:p>
    <w:p w14:paraId="0B83CC58" w14:textId="77777777" w:rsidR="00D360A3" w:rsidRDefault="00D360A3" w:rsidP="004D3677">
      <w:pPr>
        <w:jc w:val="both"/>
        <w:rPr>
          <w:b/>
        </w:rPr>
      </w:pPr>
    </w:p>
    <w:p w14:paraId="52286363" w14:textId="12AA6272" w:rsidR="00D360A3" w:rsidRPr="00812723" w:rsidRDefault="00D360A3" w:rsidP="00D360A3">
      <w:pPr>
        <w:jc w:val="both"/>
        <w:rPr>
          <w:b/>
        </w:rPr>
      </w:pPr>
      <w:r>
        <w:rPr>
          <w:b/>
        </w:rPr>
        <w:t>Item J</w:t>
      </w:r>
      <w:r w:rsidRPr="00812723">
        <w:rPr>
          <w:b/>
        </w:rPr>
        <w:t xml:space="preserve">. </w:t>
      </w:r>
      <w:r>
        <w:t>Recommended Approval of a New Fee and Waiver of Other Fees for Online Students Recruited by Keypath Education</w:t>
      </w:r>
    </w:p>
    <w:p w14:paraId="7279C107" w14:textId="77777777" w:rsidR="00D360A3" w:rsidRPr="00812723" w:rsidRDefault="00D360A3" w:rsidP="00D360A3">
      <w:pPr>
        <w:jc w:val="both"/>
      </w:pPr>
    </w:p>
    <w:p w14:paraId="43EF113E" w14:textId="06A2C879" w:rsidR="00D360A3" w:rsidRDefault="00EA32B3" w:rsidP="00D360A3">
      <w:pPr>
        <w:jc w:val="both"/>
      </w:pPr>
      <w:r>
        <w:t>Mr. Jason Tomlinson recommended the approval of a new online fee and the waiver of certain fees for online students recruited by Keypath Education.</w:t>
      </w:r>
    </w:p>
    <w:p w14:paraId="2DF19004" w14:textId="77777777" w:rsidR="00EA32B3" w:rsidRDefault="00EA32B3" w:rsidP="00D360A3">
      <w:pPr>
        <w:jc w:val="both"/>
      </w:pPr>
    </w:p>
    <w:p w14:paraId="272EBCED" w14:textId="518D6990" w:rsidR="00EA32B3" w:rsidRDefault="00EA32B3" w:rsidP="00EA32B3">
      <w:pPr>
        <w:jc w:val="both"/>
      </w:pPr>
      <w:r>
        <w:t>The proposed fee adjustments were:</w:t>
      </w:r>
    </w:p>
    <w:p w14:paraId="052402D5" w14:textId="77777777" w:rsidR="00EA32B3" w:rsidRDefault="00EA32B3" w:rsidP="00EA32B3">
      <w:pPr>
        <w:jc w:val="both"/>
      </w:pPr>
    </w:p>
    <w:p w14:paraId="76C2642C" w14:textId="77777777" w:rsidR="0054468E" w:rsidRDefault="00EA32B3" w:rsidP="00EA32B3">
      <w:pPr>
        <w:pStyle w:val="ListParagraph"/>
        <w:widowControl/>
        <w:numPr>
          <w:ilvl w:val="0"/>
          <w:numId w:val="11"/>
        </w:numPr>
        <w:adjustRightInd/>
        <w:spacing w:after="160" w:line="259" w:lineRule="auto"/>
        <w:jc w:val="both"/>
      </w:pPr>
      <w:r>
        <w:t>a new online fee of $43 per credit hour that will be assessed to students recruited by Keypath Education, LLC into the Master of Science Nursing Family Nurse Practitioner and the Post-Master’s FNP Certificate (the “Program”) beginning Spring 2020.</w:t>
      </w:r>
    </w:p>
    <w:p w14:paraId="5334C545" w14:textId="6AE6532B" w:rsidR="00EA32B3" w:rsidRDefault="00EA32B3" w:rsidP="0054468E">
      <w:pPr>
        <w:pStyle w:val="ListParagraph"/>
        <w:widowControl/>
        <w:adjustRightInd/>
        <w:spacing w:after="160" w:line="259" w:lineRule="auto"/>
        <w:jc w:val="both"/>
      </w:pPr>
    </w:p>
    <w:p w14:paraId="21117E4D" w14:textId="77777777" w:rsidR="0054468E" w:rsidRDefault="00EA32B3" w:rsidP="00EA32B3">
      <w:pPr>
        <w:pStyle w:val="ListParagraph"/>
        <w:widowControl/>
        <w:numPr>
          <w:ilvl w:val="0"/>
          <w:numId w:val="11"/>
        </w:numPr>
        <w:adjustRightInd/>
        <w:spacing w:after="160" w:line="259" w:lineRule="auto"/>
        <w:jc w:val="both"/>
      </w:pPr>
      <w:r>
        <w:t>the waiver of the following fees for those students recruited by Keypath Education, LLC into the Program beginning Spring 2020:</w:t>
      </w:r>
    </w:p>
    <w:p w14:paraId="718AC41D" w14:textId="77777777" w:rsidR="0054468E" w:rsidRDefault="0054468E" w:rsidP="0054468E">
      <w:pPr>
        <w:pStyle w:val="ListParagraph"/>
      </w:pPr>
    </w:p>
    <w:p w14:paraId="28903379" w14:textId="77777777" w:rsidR="00EA32B3" w:rsidRDefault="00EA32B3" w:rsidP="00EA32B3">
      <w:pPr>
        <w:pStyle w:val="ListParagraph"/>
        <w:widowControl/>
        <w:numPr>
          <w:ilvl w:val="1"/>
          <w:numId w:val="11"/>
        </w:numPr>
        <w:adjustRightInd/>
        <w:spacing w:after="160" w:line="259" w:lineRule="auto"/>
        <w:jc w:val="both"/>
      </w:pPr>
      <w:r>
        <w:t>Technology fee</w:t>
      </w:r>
    </w:p>
    <w:p w14:paraId="3F136C78" w14:textId="77777777" w:rsidR="00EA32B3" w:rsidRDefault="00EA32B3" w:rsidP="00EA32B3">
      <w:pPr>
        <w:pStyle w:val="ListParagraph"/>
        <w:widowControl/>
        <w:numPr>
          <w:ilvl w:val="1"/>
          <w:numId w:val="11"/>
        </w:numPr>
        <w:adjustRightInd/>
        <w:spacing w:after="160" w:line="259" w:lineRule="auto"/>
        <w:jc w:val="both"/>
      </w:pPr>
      <w:r>
        <w:t>Fitness &amp; Recreation Fee</w:t>
      </w:r>
    </w:p>
    <w:p w14:paraId="67350451" w14:textId="77777777" w:rsidR="00EA32B3" w:rsidRDefault="00EA32B3" w:rsidP="00EA32B3">
      <w:pPr>
        <w:pStyle w:val="ListParagraph"/>
        <w:widowControl/>
        <w:numPr>
          <w:ilvl w:val="1"/>
          <w:numId w:val="11"/>
        </w:numPr>
        <w:adjustRightInd/>
        <w:spacing w:after="160" w:line="259" w:lineRule="auto"/>
        <w:jc w:val="both"/>
      </w:pPr>
      <w:r>
        <w:t>ID Fee</w:t>
      </w:r>
    </w:p>
    <w:p w14:paraId="77F397A0" w14:textId="77777777" w:rsidR="00EA32B3" w:rsidRDefault="00EA32B3" w:rsidP="00EA32B3">
      <w:pPr>
        <w:pStyle w:val="ListParagraph"/>
        <w:widowControl/>
        <w:numPr>
          <w:ilvl w:val="1"/>
          <w:numId w:val="11"/>
        </w:numPr>
        <w:adjustRightInd/>
        <w:spacing w:after="160" w:line="259" w:lineRule="auto"/>
        <w:jc w:val="both"/>
      </w:pPr>
      <w:r>
        <w:t>International Education Fee</w:t>
      </w:r>
    </w:p>
    <w:p w14:paraId="570CCD29" w14:textId="77777777" w:rsidR="00EA32B3" w:rsidRDefault="00EA32B3" w:rsidP="00EA32B3">
      <w:pPr>
        <w:pStyle w:val="ListParagraph"/>
        <w:widowControl/>
        <w:numPr>
          <w:ilvl w:val="1"/>
          <w:numId w:val="11"/>
        </w:numPr>
        <w:adjustRightInd/>
        <w:spacing w:after="160" w:line="259" w:lineRule="auto"/>
        <w:jc w:val="both"/>
      </w:pPr>
      <w:r>
        <w:t>Medical Service Fee</w:t>
      </w:r>
    </w:p>
    <w:p w14:paraId="21277770" w14:textId="77777777" w:rsidR="00EA32B3" w:rsidRDefault="00EA32B3" w:rsidP="00EA32B3">
      <w:pPr>
        <w:pStyle w:val="ListParagraph"/>
        <w:widowControl/>
        <w:numPr>
          <w:ilvl w:val="1"/>
          <w:numId w:val="11"/>
        </w:numPr>
        <w:adjustRightInd/>
        <w:spacing w:after="160" w:line="259" w:lineRule="auto"/>
        <w:jc w:val="both"/>
      </w:pPr>
      <w:r>
        <w:t>Publication Fee</w:t>
      </w:r>
    </w:p>
    <w:p w14:paraId="021DB97D" w14:textId="77777777" w:rsidR="00EA32B3" w:rsidRDefault="00EA32B3" w:rsidP="00EA32B3">
      <w:pPr>
        <w:pStyle w:val="ListParagraph"/>
        <w:widowControl/>
        <w:numPr>
          <w:ilvl w:val="1"/>
          <w:numId w:val="11"/>
        </w:numPr>
        <w:adjustRightInd/>
        <w:spacing w:after="160" w:line="259" w:lineRule="auto"/>
        <w:jc w:val="both"/>
      </w:pPr>
      <w:r>
        <w:t>Student Center Fee</w:t>
      </w:r>
    </w:p>
    <w:p w14:paraId="4961B3EC" w14:textId="77777777" w:rsidR="00EA32B3" w:rsidRDefault="00EA32B3" w:rsidP="00EA32B3">
      <w:pPr>
        <w:pStyle w:val="ListParagraph"/>
        <w:widowControl/>
        <w:numPr>
          <w:ilvl w:val="1"/>
          <w:numId w:val="11"/>
        </w:numPr>
        <w:adjustRightInd/>
        <w:spacing w:after="160" w:line="259" w:lineRule="auto"/>
        <w:jc w:val="both"/>
      </w:pPr>
      <w:r>
        <w:t>Student Service Fee</w:t>
      </w:r>
    </w:p>
    <w:p w14:paraId="44403177" w14:textId="77777777" w:rsidR="00EA32B3" w:rsidRDefault="00EA32B3" w:rsidP="00EA32B3">
      <w:pPr>
        <w:pStyle w:val="ListParagraph"/>
        <w:widowControl/>
        <w:numPr>
          <w:ilvl w:val="1"/>
          <w:numId w:val="11"/>
        </w:numPr>
        <w:adjustRightInd/>
        <w:spacing w:after="160" w:line="259" w:lineRule="auto"/>
        <w:jc w:val="both"/>
      </w:pPr>
      <w:r>
        <w:t>Instructional Enhancement Fee</w:t>
      </w:r>
    </w:p>
    <w:p w14:paraId="6DB66CB5" w14:textId="77777777" w:rsidR="00EA32B3" w:rsidRDefault="00EA32B3" w:rsidP="00EA32B3">
      <w:pPr>
        <w:pStyle w:val="ListParagraph"/>
        <w:widowControl/>
        <w:numPr>
          <w:ilvl w:val="1"/>
          <w:numId w:val="11"/>
        </w:numPr>
        <w:adjustRightInd/>
        <w:spacing w:after="160" w:line="259" w:lineRule="auto"/>
        <w:jc w:val="both"/>
      </w:pPr>
      <w:r>
        <w:t>Library Access Fee</w:t>
      </w:r>
    </w:p>
    <w:p w14:paraId="0A070762" w14:textId="77777777" w:rsidR="00EA32B3" w:rsidRDefault="00EA32B3" w:rsidP="00EA32B3">
      <w:pPr>
        <w:pStyle w:val="ListParagraph"/>
        <w:widowControl/>
        <w:numPr>
          <w:ilvl w:val="1"/>
          <w:numId w:val="11"/>
        </w:numPr>
        <w:adjustRightInd/>
        <w:spacing w:after="160" w:line="259" w:lineRule="auto"/>
        <w:jc w:val="both"/>
      </w:pPr>
      <w:r>
        <w:t>Lab Fee</w:t>
      </w:r>
    </w:p>
    <w:p w14:paraId="39179E64" w14:textId="4AB30169" w:rsidR="00EA32B3" w:rsidRPr="00812723" w:rsidRDefault="00EA32B3" w:rsidP="00EA32B3">
      <w:pPr>
        <w:pStyle w:val="ListParagraph"/>
        <w:widowControl/>
        <w:numPr>
          <w:ilvl w:val="1"/>
          <w:numId w:val="11"/>
        </w:numPr>
        <w:adjustRightInd/>
        <w:spacing w:after="160" w:line="259" w:lineRule="auto"/>
        <w:jc w:val="both"/>
      </w:pPr>
      <w:r>
        <w:t>Program Fee</w:t>
      </w:r>
    </w:p>
    <w:p w14:paraId="01A3A0A1" w14:textId="1B24F172" w:rsidR="00EA32B3" w:rsidRDefault="00EA32B3" w:rsidP="00EA32B3">
      <w:pPr>
        <w:jc w:val="both"/>
      </w:pPr>
      <w:r w:rsidRPr="00EA32B3">
        <w:t xml:space="preserve">Mr. Tomlinson explained that </w:t>
      </w:r>
      <w:r>
        <w:t xml:space="preserve">TWU is partnering with Keypath Education, LLC, an online program </w:t>
      </w:r>
      <w:r>
        <w:lastRenderedPageBreak/>
        <w:t>management provider, to launch a pilot program for the Program beginning Spring 2020, and that, in the increasingly competitive distance education market, the University needs a partner to assist in the marketing and delivery of the Program.  One such service is the evaluation of a competitive rate for the total degree costs.  This rate requires certain modifications in the graduate tuition and fee model at TWU.</w:t>
      </w:r>
    </w:p>
    <w:p w14:paraId="7D55EC18" w14:textId="6CA1D2CE" w:rsidR="00EA32B3" w:rsidRDefault="00EA32B3" w:rsidP="00EA32B3">
      <w:pPr>
        <w:jc w:val="both"/>
      </w:pPr>
      <w:r>
        <w:t>The graduate statutory, design</w:t>
      </w:r>
      <w:r w:rsidR="00D03B05">
        <w:t>ated and differential rates would</w:t>
      </w:r>
      <w:r>
        <w:t xml:space="preserve"> remain the same.  However, the fees assessed need to be modified in order to remain competitive.  Sections 54.218 and 54.5035 of the Texas Education Code allow the governing board of an institution to waive fees it has authorized. </w:t>
      </w:r>
    </w:p>
    <w:p w14:paraId="17212871" w14:textId="77777777" w:rsidR="00D03B05" w:rsidRDefault="00D03B05" w:rsidP="00EA32B3">
      <w:pPr>
        <w:jc w:val="both"/>
      </w:pPr>
    </w:p>
    <w:p w14:paraId="45756059" w14:textId="3E752ADB" w:rsidR="00D360A3" w:rsidRDefault="00EA32B3" w:rsidP="00EA32B3">
      <w:pPr>
        <w:jc w:val="both"/>
        <w:rPr>
          <w:b/>
        </w:rPr>
      </w:pPr>
      <w:r>
        <w:t>A new online</w:t>
      </w:r>
      <w:r w:rsidR="00D03B05">
        <w:t xml:space="preserve"> fee of $43 per credit hour would</w:t>
      </w:r>
      <w:r>
        <w:t xml:space="preserve"> be assess</w:t>
      </w:r>
      <w:r w:rsidR="00D03B05">
        <w:t>ed to the Program. This fee would</w:t>
      </w:r>
      <w:r>
        <w:t xml:space="preserve"> fund operational support expenses associated with delivering the program.</w:t>
      </w:r>
    </w:p>
    <w:p w14:paraId="5049E592" w14:textId="77777777" w:rsidR="00EA32B3" w:rsidRPr="00812723" w:rsidRDefault="00EA32B3" w:rsidP="00D360A3">
      <w:pPr>
        <w:jc w:val="both"/>
        <w:rPr>
          <w:b/>
        </w:rPr>
      </w:pPr>
    </w:p>
    <w:p w14:paraId="42FE1498" w14:textId="55146399" w:rsidR="00D360A3" w:rsidRPr="00812723" w:rsidRDefault="00D360A3" w:rsidP="00D360A3">
      <w:pPr>
        <w:jc w:val="both"/>
        <w:rPr>
          <w:b/>
        </w:rPr>
      </w:pPr>
      <w:r w:rsidRPr="00812723">
        <w:rPr>
          <w:b/>
          <w:u w:val="single"/>
        </w:rPr>
        <w:t>Motion to Move Approval of Item to Consent Agenda:</w:t>
      </w:r>
      <w:r w:rsidRPr="00812723">
        <w:t xml:space="preserve"> Regent </w:t>
      </w:r>
      <w:r w:rsidR="0037702A">
        <w:rPr>
          <w:b/>
        </w:rPr>
        <w:t>Hyde</w:t>
      </w:r>
      <w:r w:rsidRPr="00812723">
        <w:t xml:space="preserve"> motioned and Regent </w:t>
      </w:r>
      <w:r w:rsidR="0037702A">
        <w:rPr>
          <w:b/>
        </w:rPr>
        <w:t>Wilson</w:t>
      </w:r>
      <w:r w:rsidRPr="00812723" w:rsidDel="00C44820">
        <w:t xml:space="preserve"> </w:t>
      </w:r>
      <w:r w:rsidRPr="00812723">
        <w:t>seconded. The motion passed with a vote of</w:t>
      </w:r>
      <w:r w:rsidR="0037702A">
        <w:rPr>
          <w:b/>
        </w:rPr>
        <w:t xml:space="preserve"> 4</w:t>
      </w:r>
      <w:r w:rsidRPr="00812723">
        <w:rPr>
          <w:b/>
        </w:rPr>
        <w:t>-0-0.</w:t>
      </w:r>
    </w:p>
    <w:p w14:paraId="57577B77" w14:textId="77777777" w:rsidR="00D360A3" w:rsidRDefault="00D360A3" w:rsidP="004D3677">
      <w:pPr>
        <w:jc w:val="both"/>
        <w:rPr>
          <w:b/>
        </w:rPr>
      </w:pPr>
    </w:p>
    <w:p w14:paraId="584E22F8" w14:textId="3112ADDF" w:rsidR="00D360A3" w:rsidRPr="00812723" w:rsidRDefault="00D360A3" w:rsidP="00D360A3">
      <w:pPr>
        <w:jc w:val="both"/>
        <w:rPr>
          <w:b/>
        </w:rPr>
      </w:pPr>
      <w:r>
        <w:rPr>
          <w:b/>
        </w:rPr>
        <w:t>Item K</w:t>
      </w:r>
      <w:r w:rsidRPr="00812723">
        <w:rPr>
          <w:b/>
        </w:rPr>
        <w:t xml:space="preserve">. </w:t>
      </w:r>
      <w:r>
        <w:t>Recommended Approval of TWU Grants Awarded April 2019 – July 2019</w:t>
      </w:r>
    </w:p>
    <w:p w14:paraId="48A0686C" w14:textId="77777777" w:rsidR="00D360A3" w:rsidRPr="00812723" w:rsidRDefault="00D360A3" w:rsidP="00D360A3">
      <w:pPr>
        <w:jc w:val="both"/>
      </w:pPr>
    </w:p>
    <w:p w14:paraId="4CD2D964" w14:textId="2A4E638C" w:rsidR="00D360A3" w:rsidRDefault="00D03B05" w:rsidP="00D360A3">
      <w:pPr>
        <w:jc w:val="both"/>
      </w:pPr>
      <w:r>
        <w:t>Mr. Tomlinson recommended the Board approve TWU Grants awarded from April 19, 2019 through July 1, 2019. The grants recommended for approval were:</w:t>
      </w:r>
    </w:p>
    <w:p w14:paraId="572F5F77" w14:textId="77777777" w:rsidR="00D03B05" w:rsidRDefault="00D03B05" w:rsidP="00D360A3">
      <w:pPr>
        <w:jc w:val="both"/>
      </w:pPr>
    </w:p>
    <w:p w14:paraId="4F6E2A20" w14:textId="5052FBEB" w:rsidR="00D03B05" w:rsidRPr="00D03B05" w:rsidRDefault="00D03B05" w:rsidP="00D360A3">
      <w:pPr>
        <w:jc w:val="both"/>
        <w:rPr>
          <w:b/>
        </w:rPr>
      </w:pPr>
      <w:r w:rsidRPr="00D03B05">
        <w:rPr>
          <w:b/>
        </w:rPr>
        <w:t>Research Grants</w:t>
      </w:r>
    </w:p>
    <w:p w14:paraId="2F88B32C" w14:textId="77777777" w:rsidR="00D03B05" w:rsidRDefault="00D03B05" w:rsidP="00D360A3">
      <w:pPr>
        <w:jc w:val="both"/>
      </w:pPr>
    </w:p>
    <w:tbl>
      <w:tblPr>
        <w:tblW w:w="0" w:type="auto"/>
        <w:tblInd w:w="611" w:type="dxa"/>
        <w:tblLayout w:type="fixed"/>
        <w:tblCellMar>
          <w:left w:w="0" w:type="dxa"/>
          <w:right w:w="0" w:type="dxa"/>
        </w:tblCellMar>
        <w:tblLook w:val="01E0" w:firstRow="1" w:lastRow="1" w:firstColumn="1" w:lastColumn="1" w:noHBand="0" w:noVBand="0"/>
      </w:tblPr>
      <w:tblGrid>
        <w:gridCol w:w="423"/>
        <w:gridCol w:w="7671"/>
        <w:gridCol w:w="1078"/>
      </w:tblGrid>
      <w:tr w:rsidR="00D03B05" w14:paraId="765475BD" w14:textId="77777777" w:rsidTr="006520C9">
        <w:trPr>
          <w:trHeight w:val="586"/>
        </w:trPr>
        <w:tc>
          <w:tcPr>
            <w:tcW w:w="423" w:type="dxa"/>
          </w:tcPr>
          <w:p w14:paraId="24A84B39" w14:textId="77777777" w:rsidR="00D03B05" w:rsidRDefault="00D03B05" w:rsidP="006520C9">
            <w:pPr>
              <w:pStyle w:val="TableParagraph"/>
              <w:spacing w:line="271" w:lineRule="exact"/>
              <w:ind w:left="50"/>
              <w:rPr>
                <w:b/>
                <w:sz w:val="24"/>
              </w:rPr>
            </w:pPr>
            <w:r>
              <w:rPr>
                <w:b/>
                <w:sz w:val="24"/>
              </w:rPr>
              <w:t>A.</w:t>
            </w:r>
          </w:p>
        </w:tc>
        <w:tc>
          <w:tcPr>
            <w:tcW w:w="7671" w:type="dxa"/>
          </w:tcPr>
          <w:p w14:paraId="675A832D" w14:textId="77777777" w:rsidR="00D03B05" w:rsidRDefault="00D03B05" w:rsidP="006520C9">
            <w:pPr>
              <w:pStyle w:val="TableParagraph"/>
              <w:spacing w:line="266" w:lineRule="exact"/>
              <w:ind w:left="126"/>
              <w:rPr>
                <w:sz w:val="24"/>
              </w:rPr>
            </w:pPr>
            <w:r>
              <w:rPr>
                <w:sz w:val="24"/>
              </w:rPr>
              <w:t>Grant from the Texas Society for Microscopy - Private - entitled</w:t>
            </w:r>
          </w:p>
          <w:p w14:paraId="16673B67" w14:textId="77777777" w:rsidR="00D03B05" w:rsidRDefault="00D03B05" w:rsidP="006520C9">
            <w:pPr>
              <w:pStyle w:val="TableParagraph"/>
              <w:spacing w:before="26" w:line="274" w:lineRule="exact"/>
              <w:ind w:left="126"/>
              <w:rPr>
                <w:sz w:val="24"/>
              </w:rPr>
            </w:pPr>
            <w:r>
              <w:rPr>
                <w:sz w:val="24"/>
              </w:rPr>
              <w:t>"Determining the Receptor Anatomy and Interaction Underlying Sexual</w:t>
            </w:r>
          </w:p>
        </w:tc>
        <w:tc>
          <w:tcPr>
            <w:tcW w:w="1078" w:type="dxa"/>
          </w:tcPr>
          <w:p w14:paraId="115EA108" w14:textId="77777777" w:rsidR="00D03B05" w:rsidRDefault="00D03B05" w:rsidP="006520C9">
            <w:pPr>
              <w:pStyle w:val="TableParagraph"/>
              <w:spacing w:line="266" w:lineRule="exact"/>
              <w:ind w:right="49"/>
              <w:jc w:val="right"/>
              <w:rPr>
                <w:sz w:val="24"/>
              </w:rPr>
            </w:pPr>
            <w:r>
              <w:rPr>
                <w:sz w:val="24"/>
              </w:rPr>
              <w:t>1,500</w:t>
            </w:r>
          </w:p>
        </w:tc>
      </w:tr>
      <w:tr w:rsidR="00D03B05" w14:paraId="42AA6700" w14:textId="77777777" w:rsidTr="006520C9">
        <w:trPr>
          <w:trHeight w:val="302"/>
        </w:trPr>
        <w:tc>
          <w:tcPr>
            <w:tcW w:w="423" w:type="dxa"/>
          </w:tcPr>
          <w:p w14:paraId="2135B897" w14:textId="77777777" w:rsidR="00D03B05" w:rsidRDefault="00D03B05" w:rsidP="006520C9">
            <w:pPr>
              <w:pStyle w:val="TableParagraph"/>
            </w:pPr>
          </w:p>
        </w:tc>
        <w:tc>
          <w:tcPr>
            <w:tcW w:w="7671" w:type="dxa"/>
          </w:tcPr>
          <w:p w14:paraId="24F7461C" w14:textId="77777777" w:rsidR="00D03B05" w:rsidRDefault="00D03B05" w:rsidP="006520C9">
            <w:pPr>
              <w:pStyle w:val="TableParagraph"/>
              <w:spacing w:before="8" w:line="274" w:lineRule="exact"/>
              <w:ind w:left="126"/>
              <w:rPr>
                <w:sz w:val="24"/>
              </w:rPr>
            </w:pPr>
            <w:r>
              <w:rPr>
                <w:sz w:val="24"/>
              </w:rPr>
              <w:t>Dimorphism in Trigeminal Pain Processing" for period 4/23/19 until</w:t>
            </w:r>
          </w:p>
        </w:tc>
        <w:tc>
          <w:tcPr>
            <w:tcW w:w="1078" w:type="dxa"/>
          </w:tcPr>
          <w:p w14:paraId="3D495E10" w14:textId="77777777" w:rsidR="00D03B05" w:rsidRDefault="00D03B05" w:rsidP="006520C9">
            <w:pPr>
              <w:pStyle w:val="TableParagraph"/>
            </w:pPr>
          </w:p>
        </w:tc>
      </w:tr>
      <w:tr w:rsidR="00D03B05" w14:paraId="4406A1AE" w14:textId="77777777" w:rsidTr="006520C9">
        <w:trPr>
          <w:trHeight w:val="302"/>
        </w:trPr>
        <w:tc>
          <w:tcPr>
            <w:tcW w:w="423" w:type="dxa"/>
          </w:tcPr>
          <w:p w14:paraId="1E3E4704" w14:textId="77777777" w:rsidR="00D03B05" w:rsidRDefault="00D03B05" w:rsidP="006520C9">
            <w:pPr>
              <w:pStyle w:val="TableParagraph"/>
            </w:pPr>
          </w:p>
        </w:tc>
        <w:tc>
          <w:tcPr>
            <w:tcW w:w="7671" w:type="dxa"/>
          </w:tcPr>
          <w:p w14:paraId="56371A07" w14:textId="77777777" w:rsidR="00D03B05" w:rsidRDefault="00D03B05" w:rsidP="006520C9">
            <w:pPr>
              <w:pStyle w:val="TableParagraph"/>
              <w:spacing w:before="8" w:line="274" w:lineRule="exact"/>
              <w:ind w:left="126"/>
              <w:rPr>
                <w:sz w:val="24"/>
              </w:rPr>
            </w:pPr>
            <w:r>
              <w:rPr>
                <w:sz w:val="24"/>
              </w:rPr>
              <w:t xml:space="preserve">expended. Dr. Dayna Averitt and Ms. </w:t>
            </w:r>
            <w:proofErr w:type="spellStart"/>
            <w:r>
              <w:rPr>
                <w:sz w:val="24"/>
              </w:rPr>
              <w:t>Sukhbir</w:t>
            </w:r>
            <w:proofErr w:type="spellEnd"/>
            <w:r>
              <w:rPr>
                <w:sz w:val="24"/>
              </w:rPr>
              <w:t xml:space="preserve"> Kaur </w:t>
            </w:r>
            <w:proofErr w:type="spellStart"/>
            <w:r>
              <w:rPr>
                <w:sz w:val="24"/>
              </w:rPr>
              <w:t>Lulla</w:t>
            </w:r>
            <w:proofErr w:type="spellEnd"/>
            <w:r>
              <w:rPr>
                <w:sz w:val="24"/>
              </w:rPr>
              <w:t xml:space="preserve"> are the project</w:t>
            </w:r>
          </w:p>
        </w:tc>
        <w:tc>
          <w:tcPr>
            <w:tcW w:w="1078" w:type="dxa"/>
          </w:tcPr>
          <w:p w14:paraId="1AEE5384" w14:textId="77777777" w:rsidR="00D03B05" w:rsidRDefault="00D03B05" w:rsidP="006520C9">
            <w:pPr>
              <w:pStyle w:val="TableParagraph"/>
            </w:pPr>
          </w:p>
        </w:tc>
      </w:tr>
      <w:tr w:rsidR="00D03B05" w14:paraId="6790C2CF" w14:textId="77777777" w:rsidTr="006520C9">
        <w:trPr>
          <w:trHeight w:val="365"/>
        </w:trPr>
        <w:tc>
          <w:tcPr>
            <w:tcW w:w="423" w:type="dxa"/>
          </w:tcPr>
          <w:p w14:paraId="4D7568ED" w14:textId="77777777" w:rsidR="00D03B05" w:rsidRDefault="00D03B05" w:rsidP="006520C9">
            <w:pPr>
              <w:pStyle w:val="TableParagraph"/>
            </w:pPr>
          </w:p>
        </w:tc>
        <w:tc>
          <w:tcPr>
            <w:tcW w:w="7671" w:type="dxa"/>
          </w:tcPr>
          <w:p w14:paraId="2C472856" w14:textId="77777777" w:rsidR="00D03B05" w:rsidRDefault="00D03B05" w:rsidP="006520C9">
            <w:pPr>
              <w:pStyle w:val="TableParagraph"/>
              <w:spacing w:before="8"/>
              <w:ind w:left="126"/>
              <w:rPr>
                <w:sz w:val="24"/>
              </w:rPr>
            </w:pPr>
            <w:r>
              <w:rPr>
                <w:sz w:val="24"/>
              </w:rPr>
              <w:t>directors.</w:t>
            </w:r>
          </w:p>
        </w:tc>
        <w:tc>
          <w:tcPr>
            <w:tcW w:w="1078" w:type="dxa"/>
          </w:tcPr>
          <w:p w14:paraId="40E335B9" w14:textId="77777777" w:rsidR="00D03B05" w:rsidRDefault="00D03B05" w:rsidP="006520C9">
            <w:pPr>
              <w:pStyle w:val="TableParagraph"/>
            </w:pPr>
          </w:p>
        </w:tc>
      </w:tr>
      <w:tr w:rsidR="00D03B05" w14:paraId="25E0C1C7" w14:textId="77777777" w:rsidTr="006520C9">
        <w:trPr>
          <w:trHeight w:val="668"/>
        </w:trPr>
        <w:tc>
          <w:tcPr>
            <w:tcW w:w="423" w:type="dxa"/>
          </w:tcPr>
          <w:p w14:paraId="378E7FC7" w14:textId="77777777" w:rsidR="00D03B05" w:rsidRDefault="00D03B05" w:rsidP="006520C9">
            <w:pPr>
              <w:pStyle w:val="TableParagraph"/>
              <w:spacing w:before="76"/>
              <w:ind w:left="50"/>
              <w:rPr>
                <w:b/>
                <w:sz w:val="24"/>
              </w:rPr>
            </w:pPr>
            <w:r>
              <w:rPr>
                <w:b/>
                <w:sz w:val="24"/>
              </w:rPr>
              <w:t>B</w:t>
            </w:r>
          </w:p>
        </w:tc>
        <w:tc>
          <w:tcPr>
            <w:tcW w:w="7671" w:type="dxa"/>
          </w:tcPr>
          <w:p w14:paraId="70C8C371" w14:textId="77777777" w:rsidR="00D03B05" w:rsidRDefault="00D03B05" w:rsidP="006520C9">
            <w:pPr>
              <w:pStyle w:val="TableParagraph"/>
              <w:spacing w:before="47" w:line="300" w:lineRule="atLeast"/>
              <w:ind w:left="126" w:right="788"/>
              <w:rPr>
                <w:sz w:val="24"/>
              </w:rPr>
            </w:pPr>
            <w:r>
              <w:rPr>
                <w:sz w:val="24"/>
              </w:rPr>
              <w:t>Grant from the Welch Foundation - Private - entitled "Basic Chemical Research at Texas Woman's University" for period 6/1/19 to 5/31/20.</w:t>
            </w:r>
          </w:p>
        </w:tc>
        <w:tc>
          <w:tcPr>
            <w:tcW w:w="1078" w:type="dxa"/>
          </w:tcPr>
          <w:p w14:paraId="60FEB132" w14:textId="77777777" w:rsidR="00D03B05" w:rsidRDefault="00D03B05" w:rsidP="006520C9">
            <w:pPr>
              <w:pStyle w:val="TableParagraph"/>
              <w:spacing w:before="71"/>
              <w:ind w:right="49"/>
              <w:jc w:val="right"/>
              <w:rPr>
                <w:sz w:val="24"/>
              </w:rPr>
            </w:pPr>
            <w:r>
              <w:rPr>
                <w:sz w:val="24"/>
              </w:rPr>
              <w:t>45,000</w:t>
            </w:r>
          </w:p>
        </w:tc>
      </w:tr>
      <w:tr w:rsidR="00D03B05" w14:paraId="19017936" w14:textId="77777777" w:rsidTr="006520C9">
        <w:trPr>
          <w:trHeight w:val="370"/>
        </w:trPr>
        <w:tc>
          <w:tcPr>
            <w:tcW w:w="423" w:type="dxa"/>
          </w:tcPr>
          <w:p w14:paraId="3A76B760" w14:textId="77777777" w:rsidR="00D03B05" w:rsidRDefault="00D03B05" w:rsidP="006520C9">
            <w:pPr>
              <w:pStyle w:val="TableParagraph"/>
            </w:pPr>
          </w:p>
        </w:tc>
        <w:tc>
          <w:tcPr>
            <w:tcW w:w="7671" w:type="dxa"/>
          </w:tcPr>
          <w:p w14:paraId="7765ADAC" w14:textId="77777777" w:rsidR="00D03B05" w:rsidRDefault="00D03B05" w:rsidP="006520C9">
            <w:pPr>
              <w:pStyle w:val="TableParagraph"/>
              <w:spacing w:before="8"/>
              <w:ind w:left="126"/>
              <w:rPr>
                <w:sz w:val="24"/>
              </w:rPr>
            </w:pPr>
            <w:r>
              <w:rPr>
                <w:sz w:val="24"/>
              </w:rPr>
              <w:t xml:space="preserve">Dr. Richard </w:t>
            </w:r>
            <w:proofErr w:type="spellStart"/>
            <w:r>
              <w:rPr>
                <w:sz w:val="24"/>
              </w:rPr>
              <w:t>Sheardy</w:t>
            </w:r>
            <w:proofErr w:type="spellEnd"/>
            <w:r>
              <w:rPr>
                <w:sz w:val="24"/>
              </w:rPr>
              <w:t xml:space="preserve"> is the project director.</w:t>
            </w:r>
          </w:p>
        </w:tc>
        <w:tc>
          <w:tcPr>
            <w:tcW w:w="1078" w:type="dxa"/>
          </w:tcPr>
          <w:p w14:paraId="12C48A7C" w14:textId="77777777" w:rsidR="00D03B05" w:rsidRDefault="00D03B05" w:rsidP="006520C9">
            <w:pPr>
              <w:pStyle w:val="TableParagraph"/>
            </w:pPr>
          </w:p>
        </w:tc>
      </w:tr>
      <w:tr w:rsidR="00D03B05" w14:paraId="533D146B" w14:textId="77777777" w:rsidTr="006520C9">
        <w:trPr>
          <w:trHeight w:val="673"/>
        </w:trPr>
        <w:tc>
          <w:tcPr>
            <w:tcW w:w="423" w:type="dxa"/>
          </w:tcPr>
          <w:p w14:paraId="6893CF00" w14:textId="77777777" w:rsidR="00D03B05" w:rsidRDefault="00D03B05" w:rsidP="006520C9">
            <w:pPr>
              <w:pStyle w:val="TableParagraph"/>
              <w:spacing w:before="81"/>
              <w:ind w:left="50"/>
              <w:rPr>
                <w:b/>
                <w:sz w:val="24"/>
              </w:rPr>
            </w:pPr>
            <w:r>
              <w:rPr>
                <w:b/>
                <w:sz w:val="24"/>
              </w:rPr>
              <w:t>C.</w:t>
            </w:r>
          </w:p>
        </w:tc>
        <w:tc>
          <w:tcPr>
            <w:tcW w:w="7671" w:type="dxa"/>
          </w:tcPr>
          <w:p w14:paraId="097930A9" w14:textId="77777777" w:rsidR="00D03B05" w:rsidRDefault="00D03B05" w:rsidP="006520C9">
            <w:pPr>
              <w:pStyle w:val="TableParagraph"/>
              <w:spacing w:before="52" w:line="300" w:lineRule="atLeast"/>
              <w:ind w:left="126" w:right="354"/>
              <w:rPr>
                <w:sz w:val="24"/>
              </w:rPr>
            </w:pPr>
            <w:r>
              <w:rPr>
                <w:sz w:val="24"/>
              </w:rPr>
              <w:t>Grant from HHS - National Institutes of Health - Federal - entitled "Chromatin Condensation as a DNA Protective Response to UV Radiation</w:t>
            </w:r>
          </w:p>
        </w:tc>
        <w:tc>
          <w:tcPr>
            <w:tcW w:w="1078" w:type="dxa"/>
          </w:tcPr>
          <w:p w14:paraId="094C67F7" w14:textId="77777777" w:rsidR="00D03B05" w:rsidRDefault="00D03B05" w:rsidP="006520C9">
            <w:pPr>
              <w:pStyle w:val="TableParagraph"/>
              <w:spacing w:before="76"/>
              <w:ind w:right="49"/>
              <w:jc w:val="right"/>
              <w:rPr>
                <w:sz w:val="24"/>
              </w:rPr>
            </w:pPr>
            <w:r>
              <w:rPr>
                <w:sz w:val="24"/>
              </w:rPr>
              <w:t>65,837</w:t>
            </w:r>
          </w:p>
        </w:tc>
      </w:tr>
      <w:tr w:rsidR="00D03B05" w14:paraId="4385C312" w14:textId="77777777" w:rsidTr="006520C9">
        <w:trPr>
          <w:trHeight w:val="302"/>
        </w:trPr>
        <w:tc>
          <w:tcPr>
            <w:tcW w:w="423" w:type="dxa"/>
          </w:tcPr>
          <w:p w14:paraId="694534B8" w14:textId="77777777" w:rsidR="00D03B05" w:rsidRDefault="00D03B05" w:rsidP="006520C9">
            <w:pPr>
              <w:pStyle w:val="TableParagraph"/>
            </w:pPr>
          </w:p>
        </w:tc>
        <w:tc>
          <w:tcPr>
            <w:tcW w:w="7671" w:type="dxa"/>
          </w:tcPr>
          <w:p w14:paraId="1F046D9C" w14:textId="77777777" w:rsidR="00D03B05" w:rsidRDefault="00D03B05" w:rsidP="006520C9">
            <w:pPr>
              <w:pStyle w:val="TableParagraph"/>
              <w:spacing w:before="8" w:line="274" w:lineRule="exact"/>
              <w:ind w:left="126"/>
              <w:rPr>
                <w:sz w:val="24"/>
              </w:rPr>
            </w:pPr>
            <w:r>
              <w:rPr>
                <w:sz w:val="24"/>
              </w:rPr>
              <w:t xml:space="preserve">in Human Melanocytes and Aging C. </w:t>
            </w:r>
            <w:proofErr w:type="spellStart"/>
            <w:r>
              <w:rPr>
                <w:sz w:val="24"/>
              </w:rPr>
              <w:t>elegans</w:t>
            </w:r>
            <w:proofErr w:type="spellEnd"/>
            <w:r>
              <w:rPr>
                <w:sz w:val="24"/>
              </w:rPr>
              <w:t>" for period 6/1/19 to 5/31/20.</w:t>
            </w:r>
          </w:p>
        </w:tc>
        <w:tc>
          <w:tcPr>
            <w:tcW w:w="1078" w:type="dxa"/>
          </w:tcPr>
          <w:p w14:paraId="07EDA954" w14:textId="77777777" w:rsidR="00D03B05" w:rsidRDefault="00D03B05" w:rsidP="006520C9">
            <w:pPr>
              <w:pStyle w:val="TableParagraph"/>
            </w:pPr>
          </w:p>
        </w:tc>
      </w:tr>
      <w:tr w:rsidR="00D03B05" w14:paraId="2904B4D5" w14:textId="77777777" w:rsidTr="006520C9">
        <w:trPr>
          <w:trHeight w:val="386"/>
        </w:trPr>
        <w:tc>
          <w:tcPr>
            <w:tcW w:w="423" w:type="dxa"/>
          </w:tcPr>
          <w:p w14:paraId="7D997548" w14:textId="77777777" w:rsidR="00D03B05" w:rsidRDefault="00D03B05" w:rsidP="006520C9">
            <w:pPr>
              <w:pStyle w:val="TableParagraph"/>
            </w:pPr>
          </w:p>
        </w:tc>
        <w:tc>
          <w:tcPr>
            <w:tcW w:w="7671" w:type="dxa"/>
          </w:tcPr>
          <w:p w14:paraId="03355301" w14:textId="77777777" w:rsidR="00D03B05" w:rsidRDefault="00D03B05" w:rsidP="006520C9">
            <w:pPr>
              <w:pStyle w:val="TableParagraph"/>
              <w:spacing w:before="8"/>
              <w:ind w:left="126"/>
              <w:rPr>
                <w:sz w:val="24"/>
              </w:rPr>
            </w:pPr>
            <w:r>
              <w:rPr>
                <w:sz w:val="24"/>
              </w:rPr>
              <w:t xml:space="preserve">Drs. Tina </w:t>
            </w:r>
            <w:proofErr w:type="spellStart"/>
            <w:r>
              <w:rPr>
                <w:sz w:val="24"/>
              </w:rPr>
              <w:t>Gumienny</w:t>
            </w:r>
            <w:proofErr w:type="spellEnd"/>
            <w:r>
              <w:rPr>
                <w:sz w:val="24"/>
              </w:rPr>
              <w:t xml:space="preserve"> and Michael </w:t>
            </w:r>
            <w:proofErr w:type="spellStart"/>
            <w:r>
              <w:rPr>
                <w:sz w:val="24"/>
              </w:rPr>
              <w:t>Bergel</w:t>
            </w:r>
            <w:proofErr w:type="spellEnd"/>
            <w:r>
              <w:rPr>
                <w:sz w:val="24"/>
              </w:rPr>
              <w:t xml:space="preserve"> are the project directors.</w:t>
            </w:r>
          </w:p>
        </w:tc>
        <w:tc>
          <w:tcPr>
            <w:tcW w:w="1078" w:type="dxa"/>
          </w:tcPr>
          <w:p w14:paraId="2FBE0CFB" w14:textId="77777777" w:rsidR="00D03B05" w:rsidRDefault="00D03B05" w:rsidP="006520C9">
            <w:pPr>
              <w:pStyle w:val="TableParagraph"/>
            </w:pPr>
          </w:p>
        </w:tc>
      </w:tr>
      <w:tr w:rsidR="00D03B05" w14:paraId="073D2525" w14:textId="77777777" w:rsidTr="006520C9">
        <w:trPr>
          <w:trHeight w:val="688"/>
        </w:trPr>
        <w:tc>
          <w:tcPr>
            <w:tcW w:w="423" w:type="dxa"/>
          </w:tcPr>
          <w:p w14:paraId="349A09F9" w14:textId="77777777" w:rsidR="00D03B05" w:rsidRDefault="00D03B05" w:rsidP="006520C9">
            <w:pPr>
              <w:pStyle w:val="TableParagraph"/>
              <w:spacing w:before="97"/>
              <w:ind w:left="50"/>
              <w:rPr>
                <w:b/>
                <w:sz w:val="24"/>
              </w:rPr>
            </w:pPr>
            <w:r>
              <w:rPr>
                <w:b/>
                <w:sz w:val="24"/>
              </w:rPr>
              <w:t>D.</w:t>
            </w:r>
          </w:p>
        </w:tc>
        <w:tc>
          <w:tcPr>
            <w:tcW w:w="7671" w:type="dxa"/>
          </w:tcPr>
          <w:p w14:paraId="147D70F3" w14:textId="77777777" w:rsidR="00D03B05" w:rsidRDefault="00D03B05" w:rsidP="006520C9">
            <w:pPr>
              <w:pStyle w:val="TableParagraph"/>
              <w:spacing w:before="68" w:line="300" w:lineRule="atLeast"/>
              <w:ind w:left="126" w:right="228"/>
              <w:rPr>
                <w:sz w:val="24"/>
              </w:rPr>
            </w:pPr>
            <w:r>
              <w:rPr>
                <w:sz w:val="24"/>
              </w:rPr>
              <w:t>Grant from Del Sol Food Company, Inc. - Private - entitled "</w:t>
            </w:r>
            <w:proofErr w:type="spellStart"/>
            <w:r>
              <w:rPr>
                <w:sz w:val="24"/>
              </w:rPr>
              <w:t>Briannas</w:t>
            </w:r>
            <w:proofErr w:type="spellEnd"/>
            <w:r>
              <w:rPr>
                <w:sz w:val="24"/>
              </w:rPr>
              <w:t xml:space="preserve"> Salad Dressing Consumer Test" for period 5/15/19 to 10/31/19. Dr. </w:t>
            </w:r>
            <w:proofErr w:type="spellStart"/>
            <w:r>
              <w:rPr>
                <w:sz w:val="24"/>
              </w:rPr>
              <w:t>Xiaofen</w:t>
            </w:r>
            <w:proofErr w:type="spellEnd"/>
            <w:r>
              <w:rPr>
                <w:sz w:val="24"/>
              </w:rPr>
              <w:t xml:space="preserve"> Du is</w:t>
            </w:r>
          </w:p>
        </w:tc>
        <w:tc>
          <w:tcPr>
            <w:tcW w:w="1078" w:type="dxa"/>
          </w:tcPr>
          <w:p w14:paraId="2B62C570" w14:textId="77777777" w:rsidR="00D03B05" w:rsidRDefault="00D03B05" w:rsidP="006520C9">
            <w:pPr>
              <w:pStyle w:val="TableParagraph"/>
              <w:spacing w:before="92"/>
              <w:ind w:right="49"/>
              <w:jc w:val="right"/>
              <w:rPr>
                <w:sz w:val="24"/>
              </w:rPr>
            </w:pPr>
            <w:r>
              <w:rPr>
                <w:sz w:val="24"/>
              </w:rPr>
              <w:t>11,139</w:t>
            </w:r>
          </w:p>
        </w:tc>
      </w:tr>
      <w:tr w:rsidR="00D03B05" w14:paraId="0CC52A12" w14:textId="77777777" w:rsidTr="006520C9">
        <w:trPr>
          <w:trHeight w:val="385"/>
        </w:trPr>
        <w:tc>
          <w:tcPr>
            <w:tcW w:w="423" w:type="dxa"/>
          </w:tcPr>
          <w:p w14:paraId="4FC6AC8B" w14:textId="77777777" w:rsidR="00D03B05" w:rsidRDefault="00D03B05" w:rsidP="006520C9">
            <w:pPr>
              <w:pStyle w:val="TableParagraph"/>
            </w:pPr>
          </w:p>
        </w:tc>
        <w:tc>
          <w:tcPr>
            <w:tcW w:w="7671" w:type="dxa"/>
          </w:tcPr>
          <w:p w14:paraId="13D641DE" w14:textId="77777777" w:rsidR="00D03B05" w:rsidRDefault="00D03B05" w:rsidP="006520C9">
            <w:pPr>
              <w:pStyle w:val="TableParagraph"/>
              <w:spacing w:before="8"/>
              <w:ind w:left="126"/>
              <w:rPr>
                <w:sz w:val="24"/>
              </w:rPr>
            </w:pPr>
            <w:r>
              <w:rPr>
                <w:sz w:val="24"/>
              </w:rPr>
              <w:t>the project director.</w:t>
            </w:r>
          </w:p>
        </w:tc>
        <w:tc>
          <w:tcPr>
            <w:tcW w:w="1078" w:type="dxa"/>
          </w:tcPr>
          <w:p w14:paraId="1DA98E4F" w14:textId="77777777" w:rsidR="00D03B05" w:rsidRDefault="00D03B05" w:rsidP="006520C9">
            <w:pPr>
              <w:pStyle w:val="TableParagraph"/>
            </w:pPr>
          </w:p>
        </w:tc>
      </w:tr>
      <w:tr w:rsidR="00D03B05" w14:paraId="1C44D226" w14:textId="77777777" w:rsidTr="006520C9">
        <w:trPr>
          <w:trHeight w:val="687"/>
        </w:trPr>
        <w:tc>
          <w:tcPr>
            <w:tcW w:w="423" w:type="dxa"/>
          </w:tcPr>
          <w:p w14:paraId="02EB9EF4" w14:textId="77777777" w:rsidR="00D03B05" w:rsidRDefault="00D03B05" w:rsidP="006520C9">
            <w:pPr>
              <w:pStyle w:val="TableParagraph"/>
              <w:spacing w:before="95"/>
              <w:ind w:left="50"/>
              <w:rPr>
                <w:b/>
                <w:sz w:val="24"/>
              </w:rPr>
            </w:pPr>
            <w:r>
              <w:rPr>
                <w:b/>
                <w:sz w:val="24"/>
              </w:rPr>
              <w:t>E.</w:t>
            </w:r>
          </w:p>
        </w:tc>
        <w:tc>
          <w:tcPr>
            <w:tcW w:w="7671" w:type="dxa"/>
          </w:tcPr>
          <w:p w14:paraId="243DA2C7" w14:textId="77777777" w:rsidR="00D03B05" w:rsidRDefault="00D03B05" w:rsidP="006520C9">
            <w:pPr>
              <w:pStyle w:val="TableParagraph"/>
              <w:spacing w:before="67" w:line="300" w:lineRule="atLeast"/>
              <w:ind w:left="126" w:right="392"/>
              <w:rPr>
                <w:sz w:val="24"/>
              </w:rPr>
            </w:pPr>
            <w:r>
              <w:rPr>
                <w:sz w:val="24"/>
              </w:rPr>
              <w:t>Grant from the National Strength and Conditioning Association - Private - entitled "The Influence of a Supplemental Preload Prior to Carbohydrate</w:t>
            </w:r>
          </w:p>
        </w:tc>
        <w:tc>
          <w:tcPr>
            <w:tcW w:w="1078" w:type="dxa"/>
          </w:tcPr>
          <w:p w14:paraId="6B9A5F3F" w14:textId="77777777" w:rsidR="00D03B05" w:rsidRDefault="00D03B05" w:rsidP="006520C9">
            <w:pPr>
              <w:pStyle w:val="TableParagraph"/>
              <w:spacing w:before="91"/>
              <w:ind w:right="49"/>
              <w:jc w:val="right"/>
              <w:rPr>
                <w:sz w:val="24"/>
              </w:rPr>
            </w:pPr>
            <w:r>
              <w:rPr>
                <w:sz w:val="24"/>
              </w:rPr>
              <w:t>2,500</w:t>
            </w:r>
          </w:p>
        </w:tc>
      </w:tr>
      <w:tr w:rsidR="00D03B05" w14:paraId="75305CB9" w14:textId="77777777" w:rsidTr="006520C9">
        <w:trPr>
          <w:trHeight w:val="302"/>
        </w:trPr>
        <w:tc>
          <w:tcPr>
            <w:tcW w:w="423" w:type="dxa"/>
          </w:tcPr>
          <w:p w14:paraId="173EC2C4" w14:textId="77777777" w:rsidR="00D03B05" w:rsidRDefault="00D03B05" w:rsidP="006520C9">
            <w:pPr>
              <w:pStyle w:val="TableParagraph"/>
            </w:pPr>
          </w:p>
        </w:tc>
        <w:tc>
          <w:tcPr>
            <w:tcW w:w="7671" w:type="dxa"/>
          </w:tcPr>
          <w:p w14:paraId="5DC28D34" w14:textId="77777777" w:rsidR="00D03B05" w:rsidRDefault="00D03B05" w:rsidP="006520C9">
            <w:pPr>
              <w:pStyle w:val="TableParagraph"/>
              <w:spacing w:before="8" w:line="274" w:lineRule="exact"/>
              <w:ind w:left="126"/>
              <w:rPr>
                <w:sz w:val="24"/>
              </w:rPr>
            </w:pPr>
            <w:r>
              <w:rPr>
                <w:sz w:val="24"/>
              </w:rPr>
              <w:t>Consumption of Cycling Performance" for period 5/16/19 to 12/31/19.</w:t>
            </w:r>
          </w:p>
        </w:tc>
        <w:tc>
          <w:tcPr>
            <w:tcW w:w="1078" w:type="dxa"/>
          </w:tcPr>
          <w:p w14:paraId="0BAFDFFB" w14:textId="77777777" w:rsidR="00D03B05" w:rsidRDefault="00D03B05" w:rsidP="006520C9">
            <w:pPr>
              <w:pStyle w:val="TableParagraph"/>
            </w:pPr>
          </w:p>
        </w:tc>
      </w:tr>
      <w:tr w:rsidR="00D03B05" w14:paraId="705DD035" w14:textId="77777777" w:rsidTr="006520C9">
        <w:trPr>
          <w:trHeight w:val="364"/>
        </w:trPr>
        <w:tc>
          <w:tcPr>
            <w:tcW w:w="423" w:type="dxa"/>
          </w:tcPr>
          <w:p w14:paraId="5B621C6B" w14:textId="77777777" w:rsidR="00D03B05" w:rsidRDefault="00D03B05" w:rsidP="006520C9">
            <w:pPr>
              <w:pStyle w:val="TableParagraph"/>
            </w:pPr>
          </w:p>
        </w:tc>
        <w:tc>
          <w:tcPr>
            <w:tcW w:w="7671" w:type="dxa"/>
          </w:tcPr>
          <w:p w14:paraId="5DE90E69" w14:textId="77777777" w:rsidR="00D03B05" w:rsidRDefault="00D03B05" w:rsidP="006520C9">
            <w:pPr>
              <w:pStyle w:val="TableParagraph"/>
              <w:spacing w:before="8"/>
              <w:ind w:left="126"/>
              <w:rPr>
                <w:sz w:val="24"/>
              </w:rPr>
            </w:pPr>
            <w:r>
              <w:rPr>
                <w:sz w:val="24"/>
              </w:rPr>
              <w:t>Dr. Vic Ben-Era and Mr. Christopher Irvine are the project directors.</w:t>
            </w:r>
          </w:p>
        </w:tc>
        <w:tc>
          <w:tcPr>
            <w:tcW w:w="1078" w:type="dxa"/>
          </w:tcPr>
          <w:p w14:paraId="50DAAE4E" w14:textId="77777777" w:rsidR="00D03B05" w:rsidRDefault="00D03B05" w:rsidP="006520C9">
            <w:pPr>
              <w:pStyle w:val="TableParagraph"/>
            </w:pPr>
          </w:p>
        </w:tc>
      </w:tr>
      <w:tr w:rsidR="00D03B05" w14:paraId="73C45766" w14:textId="77777777" w:rsidTr="006520C9">
        <w:trPr>
          <w:trHeight w:val="667"/>
        </w:trPr>
        <w:tc>
          <w:tcPr>
            <w:tcW w:w="423" w:type="dxa"/>
          </w:tcPr>
          <w:p w14:paraId="5A097458" w14:textId="77777777" w:rsidR="00D03B05" w:rsidRDefault="00D03B05" w:rsidP="006520C9">
            <w:pPr>
              <w:pStyle w:val="TableParagraph"/>
              <w:spacing w:before="75"/>
              <w:ind w:left="50"/>
              <w:rPr>
                <w:b/>
                <w:sz w:val="24"/>
              </w:rPr>
            </w:pPr>
            <w:r>
              <w:rPr>
                <w:b/>
                <w:sz w:val="24"/>
              </w:rPr>
              <w:t>F.</w:t>
            </w:r>
          </w:p>
        </w:tc>
        <w:tc>
          <w:tcPr>
            <w:tcW w:w="7671" w:type="dxa"/>
          </w:tcPr>
          <w:p w14:paraId="37C12DCF" w14:textId="77777777" w:rsidR="00D03B05" w:rsidRDefault="00D03B05" w:rsidP="006520C9">
            <w:pPr>
              <w:pStyle w:val="TableParagraph"/>
              <w:spacing w:before="46" w:line="300" w:lineRule="atLeast"/>
              <w:ind w:left="126" w:right="447"/>
              <w:rPr>
                <w:sz w:val="24"/>
              </w:rPr>
            </w:pPr>
            <w:r>
              <w:rPr>
                <w:sz w:val="24"/>
              </w:rPr>
              <w:t>Grant from the National Watermelon Promotion Board - Private - entitled "Efficacy of Watermelon Consumption on Range of Motion, Pain, and</w:t>
            </w:r>
          </w:p>
        </w:tc>
        <w:tc>
          <w:tcPr>
            <w:tcW w:w="1078" w:type="dxa"/>
          </w:tcPr>
          <w:p w14:paraId="09072FE0" w14:textId="77777777" w:rsidR="00D03B05" w:rsidRDefault="00D03B05" w:rsidP="006520C9">
            <w:pPr>
              <w:pStyle w:val="TableParagraph"/>
              <w:spacing w:before="70"/>
              <w:ind w:right="49"/>
              <w:jc w:val="right"/>
              <w:rPr>
                <w:sz w:val="24"/>
              </w:rPr>
            </w:pPr>
            <w:r>
              <w:rPr>
                <w:sz w:val="24"/>
              </w:rPr>
              <w:t>44,940</w:t>
            </w:r>
          </w:p>
        </w:tc>
      </w:tr>
      <w:tr w:rsidR="00D03B05" w14:paraId="5373B176" w14:textId="77777777" w:rsidTr="006520C9">
        <w:trPr>
          <w:trHeight w:val="302"/>
        </w:trPr>
        <w:tc>
          <w:tcPr>
            <w:tcW w:w="423" w:type="dxa"/>
          </w:tcPr>
          <w:p w14:paraId="4E59D8A4" w14:textId="77777777" w:rsidR="00D03B05" w:rsidRDefault="00D03B05" w:rsidP="006520C9">
            <w:pPr>
              <w:pStyle w:val="TableParagraph"/>
            </w:pPr>
          </w:p>
        </w:tc>
        <w:tc>
          <w:tcPr>
            <w:tcW w:w="7671" w:type="dxa"/>
          </w:tcPr>
          <w:p w14:paraId="67D8FDB1" w14:textId="77777777" w:rsidR="00D03B05" w:rsidRDefault="00D03B05" w:rsidP="006520C9">
            <w:pPr>
              <w:pStyle w:val="TableParagraph"/>
              <w:spacing w:before="8" w:line="274" w:lineRule="exact"/>
              <w:ind w:left="126"/>
              <w:rPr>
                <w:sz w:val="24"/>
              </w:rPr>
            </w:pPr>
            <w:r>
              <w:rPr>
                <w:sz w:val="24"/>
              </w:rPr>
              <w:t>Cartilage/Inflammatory Biomarkers in Older Adults with Symptomatic</w:t>
            </w:r>
          </w:p>
        </w:tc>
        <w:tc>
          <w:tcPr>
            <w:tcW w:w="1078" w:type="dxa"/>
          </w:tcPr>
          <w:p w14:paraId="0A8961A5" w14:textId="77777777" w:rsidR="00D03B05" w:rsidRDefault="00D03B05" w:rsidP="006520C9">
            <w:pPr>
              <w:pStyle w:val="TableParagraph"/>
            </w:pPr>
          </w:p>
        </w:tc>
      </w:tr>
      <w:tr w:rsidR="00D03B05" w14:paraId="454291E4" w14:textId="77777777" w:rsidTr="006520C9">
        <w:trPr>
          <w:trHeight w:val="302"/>
        </w:trPr>
        <w:tc>
          <w:tcPr>
            <w:tcW w:w="423" w:type="dxa"/>
          </w:tcPr>
          <w:p w14:paraId="186BD064" w14:textId="77777777" w:rsidR="00D03B05" w:rsidRDefault="00D03B05" w:rsidP="006520C9">
            <w:pPr>
              <w:pStyle w:val="TableParagraph"/>
            </w:pPr>
          </w:p>
        </w:tc>
        <w:tc>
          <w:tcPr>
            <w:tcW w:w="7671" w:type="dxa"/>
          </w:tcPr>
          <w:p w14:paraId="7B263B9B" w14:textId="77777777" w:rsidR="00D03B05" w:rsidRDefault="00D03B05" w:rsidP="006520C9">
            <w:pPr>
              <w:pStyle w:val="TableParagraph"/>
              <w:spacing w:before="8" w:line="274" w:lineRule="exact"/>
              <w:ind w:left="126"/>
              <w:rPr>
                <w:sz w:val="24"/>
              </w:rPr>
            </w:pPr>
            <w:r>
              <w:rPr>
                <w:sz w:val="24"/>
              </w:rPr>
              <w:t xml:space="preserve">Knee Osteoarthritis" for period 9/1/18 to 8/31/19. Drs. </w:t>
            </w:r>
            <w:proofErr w:type="spellStart"/>
            <w:r>
              <w:rPr>
                <w:sz w:val="24"/>
              </w:rPr>
              <w:t>Shanil</w:t>
            </w:r>
            <w:proofErr w:type="spellEnd"/>
            <w:r>
              <w:rPr>
                <w:sz w:val="24"/>
              </w:rPr>
              <w:t xml:space="preserve"> </w:t>
            </w:r>
            <w:proofErr w:type="spellStart"/>
            <w:r>
              <w:rPr>
                <w:sz w:val="24"/>
              </w:rPr>
              <w:t>Juma</w:t>
            </w:r>
            <w:proofErr w:type="spellEnd"/>
            <w:r>
              <w:rPr>
                <w:sz w:val="24"/>
              </w:rPr>
              <w:t xml:space="preserve"> &amp;</w:t>
            </w:r>
          </w:p>
        </w:tc>
        <w:tc>
          <w:tcPr>
            <w:tcW w:w="1078" w:type="dxa"/>
          </w:tcPr>
          <w:p w14:paraId="04C99AC1" w14:textId="77777777" w:rsidR="00D03B05" w:rsidRDefault="00D03B05" w:rsidP="006520C9">
            <w:pPr>
              <w:pStyle w:val="TableParagraph"/>
            </w:pPr>
          </w:p>
        </w:tc>
      </w:tr>
      <w:tr w:rsidR="00D03B05" w14:paraId="35244974" w14:textId="77777777" w:rsidTr="006520C9">
        <w:trPr>
          <w:trHeight w:val="358"/>
        </w:trPr>
        <w:tc>
          <w:tcPr>
            <w:tcW w:w="423" w:type="dxa"/>
          </w:tcPr>
          <w:p w14:paraId="25E39F03" w14:textId="77777777" w:rsidR="00D03B05" w:rsidRDefault="00D03B05" w:rsidP="006520C9">
            <w:pPr>
              <w:pStyle w:val="TableParagraph"/>
            </w:pPr>
          </w:p>
        </w:tc>
        <w:tc>
          <w:tcPr>
            <w:tcW w:w="7671" w:type="dxa"/>
          </w:tcPr>
          <w:p w14:paraId="2857FEFF" w14:textId="77777777" w:rsidR="00D03B05" w:rsidRDefault="00D03B05" w:rsidP="006520C9">
            <w:pPr>
              <w:pStyle w:val="TableParagraph"/>
              <w:spacing w:before="8"/>
              <w:ind w:left="126"/>
              <w:rPr>
                <w:sz w:val="24"/>
              </w:rPr>
            </w:pPr>
            <w:proofErr w:type="spellStart"/>
            <w:r>
              <w:rPr>
                <w:sz w:val="24"/>
              </w:rPr>
              <w:t>Parakat</w:t>
            </w:r>
            <w:proofErr w:type="spellEnd"/>
            <w:r>
              <w:rPr>
                <w:sz w:val="24"/>
              </w:rPr>
              <w:t xml:space="preserve"> </w:t>
            </w:r>
            <w:proofErr w:type="spellStart"/>
            <w:r>
              <w:rPr>
                <w:sz w:val="24"/>
              </w:rPr>
              <w:t>Vijayagopal</w:t>
            </w:r>
            <w:proofErr w:type="spellEnd"/>
            <w:r>
              <w:rPr>
                <w:sz w:val="24"/>
              </w:rPr>
              <w:t xml:space="preserve"> are the project directors.</w:t>
            </w:r>
          </w:p>
        </w:tc>
        <w:tc>
          <w:tcPr>
            <w:tcW w:w="1078" w:type="dxa"/>
          </w:tcPr>
          <w:p w14:paraId="52DE4C5C" w14:textId="77777777" w:rsidR="00D03B05" w:rsidRDefault="00D03B05" w:rsidP="006520C9">
            <w:pPr>
              <w:pStyle w:val="TableParagraph"/>
            </w:pPr>
          </w:p>
        </w:tc>
      </w:tr>
      <w:tr w:rsidR="00D03B05" w14:paraId="6FB25394" w14:textId="77777777" w:rsidTr="006520C9">
        <w:trPr>
          <w:trHeight w:val="661"/>
        </w:trPr>
        <w:tc>
          <w:tcPr>
            <w:tcW w:w="423" w:type="dxa"/>
          </w:tcPr>
          <w:p w14:paraId="4C22AD6C" w14:textId="77777777" w:rsidR="00D03B05" w:rsidRDefault="00D03B05" w:rsidP="006520C9">
            <w:pPr>
              <w:pStyle w:val="TableParagraph"/>
              <w:spacing w:before="69"/>
              <w:ind w:left="50"/>
              <w:rPr>
                <w:b/>
                <w:sz w:val="24"/>
              </w:rPr>
            </w:pPr>
            <w:r>
              <w:rPr>
                <w:b/>
                <w:sz w:val="24"/>
              </w:rPr>
              <w:lastRenderedPageBreak/>
              <w:t>G.</w:t>
            </w:r>
          </w:p>
        </w:tc>
        <w:tc>
          <w:tcPr>
            <w:tcW w:w="7671" w:type="dxa"/>
          </w:tcPr>
          <w:p w14:paraId="6963F09B" w14:textId="77777777" w:rsidR="00D03B05" w:rsidRDefault="00D03B05" w:rsidP="006520C9">
            <w:pPr>
              <w:pStyle w:val="TableParagraph"/>
              <w:spacing w:before="40" w:line="300" w:lineRule="atLeast"/>
              <w:ind w:left="126" w:right="412"/>
              <w:rPr>
                <w:sz w:val="24"/>
              </w:rPr>
            </w:pPr>
            <w:r>
              <w:rPr>
                <w:sz w:val="24"/>
              </w:rPr>
              <w:t>Grant from Ingredion Incorporated - Private - entitled "The Effect of Pea Protein on Muscle Hypertrophy Parameters in Young Males Following an</w:t>
            </w:r>
          </w:p>
        </w:tc>
        <w:tc>
          <w:tcPr>
            <w:tcW w:w="1078" w:type="dxa"/>
          </w:tcPr>
          <w:p w14:paraId="3A126B7C" w14:textId="77777777" w:rsidR="00D03B05" w:rsidRDefault="00D03B05" w:rsidP="006520C9">
            <w:pPr>
              <w:pStyle w:val="TableParagraph"/>
              <w:spacing w:before="64"/>
              <w:ind w:right="49"/>
              <w:jc w:val="right"/>
              <w:rPr>
                <w:sz w:val="24"/>
              </w:rPr>
            </w:pPr>
            <w:r>
              <w:rPr>
                <w:sz w:val="24"/>
              </w:rPr>
              <w:t>180,862</w:t>
            </w:r>
          </w:p>
        </w:tc>
      </w:tr>
      <w:tr w:rsidR="00D03B05" w14:paraId="5868FDFF" w14:textId="77777777" w:rsidTr="006520C9">
        <w:trPr>
          <w:trHeight w:val="302"/>
        </w:trPr>
        <w:tc>
          <w:tcPr>
            <w:tcW w:w="423" w:type="dxa"/>
          </w:tcPr>
          <w:p w14:paraId="273D454F" w14:textId="77777777" w:rsidR="00D03B05" w:rsidRDefault="00D03B05" w:rsidP="006520C9">
            <w:pPr>
              <w:pStyle w:val="TableParagraph"/>
            </w:pPr>
          </w:p>
        </w:tc>
        <w:tc>
          <w:tcPr>
            <w:tcW w:w="7671" w:type="dxa"/>
          </w:tcPr>
          <w:p w14:paraId="7498BAF1" w14:textId="77777777" w:rsidR="00D03B05" w:rsidRDefault="00D03B05" w:rsidP="006520C9">
            <w:pPr>
              <w:pStyle w:val="TableParagraph"/>
              <w:spacing w:before="8" w:line="274" w:lineRule="exact"/>
              <w:ind w:left="126"/>
              <w:rPr>
                <w:sz w:val="24"/>
              </w:rPr>
            </w:pPr>
            <w:r>
              <w:rPr>
                <w:sz w:val="24"/>
              </w:rPr>
              <w:t>8-week Resistance Training Program" for period 4/1/19 to 3/30/20.</w:t>
            </w:r>
          </w:p>
        </w:tc>
        <w:tc>
          <w:tcPr>
            <w:tcW w:w="1078" w:type="dxa"/>
          </w:tcPr>
          <w:p w14:paraId="2248A830" w14:textId="77777777" w:rsidR="00D03B05" w:rsidRDefault="00D03B05" w:rsidP="006520C9">
            <w:pPr>
              <w:pStyle w:val="TableParagraph"/>
            </w:pPr>
          </w:p>
        </w:tc>
      </w:tr>
      <w:tr w:rsidR="00D03B05" w14:paraId="6ECFAFDE" w14:textId="77777777" w:rsidTr="006520C9">
        <w:trPr>
          <w:trHeight w:val="386"/>
        </w:trPr>
        <w:tc>
          <w:tcPr>
            <w:tcW w:w="423" w:type="dxa"/>
          </w:tcPr>
          <w:p w14:paraId="4EE50131" w14:textId="77777777" w:rsidR="00D03B05" w:rsidRDefault="00D03B05" w:rsidP="006520C9">
            <w:pPr>
              <w:pStyle w:val="TableParagraph"/>
            </w:pPr>
          </w:p>
        </w:tc>
        <w:tc>
          <w:tcPr>
            <w:tcW w:w="7671" w:type="dxa"/>
          </w:tcPr>
          <w:p w14:paraId="426BA1AC" w14:textId="77777777" w:rsidR="00D03B05" w:rsidRDefault="00D03B05" w:rsidP="006520C9">
            <w:pPr>
              <w:pStyle w:val="TableParagraph"/>
              <w:spacing w:before="8"/>
              <w:ind w:left="126"/>
              <w:rPr>
                <w:sz w:val="24"/>
              </w:rPr>
            </w:pPr>
            <w:r>
              <w:rPr>
                <w:sz w:val="24"/>
              </w:rPr>
              <w:t xml:space="preserve">Drs. Mindy </w:t>
            </w:r>
            <w:proofErr w:type="spellStart"/>
            <w:r>
              <w:rPr>
                <w:sz w:val="24"/>
              </w:rPr>
              <w:t>Maziarz</w:t>
            </w:r>
            <w:proofErr w:type="spellEnd"/>
            <w:r>
              <w:rPr>
                <w:sz w:val="24"/>
              </w:rPr>
              <w:t xml:space="preserve"> Patterson and Wayne Brewer are the project directors.</w:t>
            </w:r>
          </w:p>
        </w:tc>
        <w:tc>
          <w:tcPr>
            <w:tcW w:w="1078" w:type="dxa"/>
          </w:tcPr>
          <w:p w14:paraId="36261A67" w14:textId="77777777" w:rsidR="00D03B05" w:rsidRDefault="00D03B05" w:rsidP="006520C9">
            <w:pPr>
              <w:pStyle w:val="TableParagraph"/>
            </w:pPr>
          </w:p>
        </w:tc>
      </w:tr>
      <w:tr w:rsidR="00D03B05" w14:paraId="5290B146" w14:textId="77777777" w:rsidTr="006520C9">
        <w:trPr>
          <w:trHeight w:val="688"/>
        </w:trPr>
        <w:tc>
          <w:tcPr>
            <w:tcW w:w="423" w:type="dxa"/>
          </w:tcPr>
          <w:p w14:paraId="309AB84F" w14:textId="77777777" w:rsidR="00D03B05" w:rsidRDefault="00D03B05" w:rsidP="006520C9">
            <w:pPr>
              <w:pStyle w:val="TableParagraph"/>
              <w:spacing w:before="97"/>
              <w:ind w:left="50"/>
              <w:rPr>
                <w:b/>
                <w:sz w:val="24"/>
              </w:rPr>
            </w:pPr>
            <w:r>
              <w:rPr>
                <w:b/>
                <w:sz w:val="24"/>
              </w:rPr>
              <w:t>H.</w:t>
            </w:r>
          </w:p>
        </w:tc>
        <w:tc>
          <w:tcPr>
            <w:tcW w:w="7671" w:type="dxa"/>
          </w:tcPr>
          <w:p w14:paraId="3A9D6E77" w14:textId="77777777" w:rsidR="00D03B05" w:rsidRDefault="00D03B05" w:rsidP="006520C9">
            <w:pPr>
              <w:pStyle w:val="TableParagraph"/>
              <w:spacing w:before="68" w:line="300" w:lineRule="atLeast"/>
              <w:ind w:left="126" w:right="277"/>
              <w:rPr>
                <w:sz w:val="24"/>
              </w:rPr>
            </w:pPr>
            <w:r>
              <w:rPr>
                <w:sz w:val="24"/>
              </w:rPr>
              <w:t>Grant from the National Council of Teachers of English - Private - entitled "Biliteracy Development through Social Justice Inquiry" for period 6/22/19</w:t>
            </w:r>
          </w:p>
        </w:tc>
        <w:tc>
          <w:tcPr>
            <w:tcW w:w="1078" w:type="dxa"/>
          </w:tcPr>
          <w:p w14:paraId="44A394CF" w14:textId="77777777" w:rsidR="00D03B05" w:rsidRDefault="00D03B05" w:rsidP="006520C9">
            <w:pPr>
              <w:pStyle w:val="TableParagraph"/>
              <w:spacing w:before="92"/>
              <w:ind w:right="49"/>
              <w:jc w:val="right"/>
              <w:rPr>
                <w:sz w:val="24"/>
              </w:rPr>
            </w:pPr>
            <w:r>
              <w:rPr>
                <w:sz w:val="24"/>
              </w:rPr>
              <w:t>5,000</w:t>
            </w:r>
          </w:p>
        </w:tc>
      </w:tr>
      <w:tr w:rsidR="00D03B05" w14:paraId="7BA247F8" w14:textId="77777777" w:rsidTr="006520C9">
        <w:trPr>
          <w:trHeight w:val="302"/>
        </w:trPr>
        <w:tc>
          <w:tcPr>
            <w:tcW w:w="423" w:type="dxa"/>
          </w:tcPr>
          <w:p w14:paraId="13EDAFBC" w14:textId="77777777" w:rsidR="00D03B05" w:rsidRDefault="00D03B05" w:rsidP="006520C9">
            <w:pPr>
              <w:pStyle w:val="TableParagraph"/>
            </w:pPr>
          </w:p>
        </w:tc>
        <w:tc>
          <w:tcPr>
            <w:tcW w:w="7671" w:type="dxa"/>
          </w:tcPr>
          <w:p w14:paraId="207B88F4" w14:textId="77777777" w:rsidR="00D03B05" w:rsidRDefault="00D03B05" w:rsidP="006520C9">
            <w:pPr>
              <w:pStyle w:val="TableParagraph"/>
              <w:spacing w:before="8" w:line="274" w:lineRule="exact"/>
              <w:ind w:left="126"/>
              <w:rPr>
                <w:sz w:val="24"/>
              </w:rPr>
            </w:pPr>
            <w:r>
              <w:rPr>
                <w:sz w:val="24"/>
              </w:rPr>
              <w:t>until expended. Drs. Mary Amanda (Mandy) Stewart &amp; Aimee Myers are</w:t>
            </w:r>
          </w:p>
        </w:tc>
        <w:tc>
          <w:tcPr>
            <w:tcW w:w="1078" w:type="dxa"/>
          </w:tcPr>
          <w:p w14:paraId="3E41C152" w14:textId="77777777" w:rsidR="00D03B05" w:rsidRDefault="00D03B05" w:rsidP="006520C9">
            <w:pPr>
              <w:pStyle w:val="TableParagraph"/>
            </w:pPr>
          </w:p>
        </w:tc>
      </w:tr>
      <w:tr w:rsidR="00D03B05" w14:paraId="5DFE4B4D" w14:textId="77777777" w:rsidTr="006520C9">
        <w:trPr>
          <w:trHeight w:val="357"/>
        </w:trPr>
        <w:tc>
          <w:tcPr>
            <w:tcW w:w="423" w:type="dxa"/>
          </w:tcPr>
          <w:p w14:paraId="1BAFE57D" w14:textId="77777777" w:rsidR="00D03B05" w:rsidRDefault="00D03B05" w:rsidP="006520C9">
            <w:pPr>
              <w:pStyle w:val="TableParagraph"/>
            </w:pPr>
          </w:p>
        </w:tc>
        <w:tc>
          <w:tcPr>
            <w:tcW w:w="7671" w:type="dxa"/>
          </w:tcPr>
          <w:p w14:paraId="4603B192" w14:textId="77777777" w:rsidR="00D03B05" w:rsidRDefault="00D03B05" w:rsidP="006520C9">
            <w:pPr>
              <w:pStyle w:val="TableParagraph"/>
              <w:spacing w:before="8"/>
              <w:ind w:left="126"/>
              <w:rPr>
                <w:sz w:val="24"/>
              </w:rPr>
            </w:pPr>
            <w:r>
              <w:rPr>
                <w:sz w:val="24"/>
              </w:rPr>
              <w:t>the project directors.</w:t>
            </w:r>
          </w:p>
        </w:tc>
        <w:tc>
          <w:tcPr>
            <w:tcW w:w="1078" w:type="dxa"/>
          </w:tcPr>
          <w:p w14:paraId="16BFFA9E" w14:textId="77777777" w:rsidR="00D03B05" w:rsidRDefault="00D03B05" w:rsidP="006520C9">
            <w:pPr>
              <w:pStyle w:val="TableParagraph"/>
            </w:pPr>
          </w:p>
        </w:tc>
      </w:tr>
      <w:tr w:rsidR="00D03B05" w14:paraId="602919BC" w14:textId="77777777" w:rsidTr="006520C9">
        <w:trPr>
          <w:trHeight w:val="660"/>
        </w:trPr>
        <w:tc>
          <w:tcPr>
            <w:tcW w:w="423" w:type="dxa"/>
          </w:tcPr>
          <w:p w14:paraId="7F9BA2E2" w14:textId="77777777" w:rsidR="00D03B05" w:rsidRDefault="00D03B05" w:rsidP="006520C9">
            <w:pPr>
              <w:pStyle w:val="TableParagraph"/>
              <w:spacing w:before="68"/>
              <w:ind w:left="50"/>
              <w:rPr>
                <w:b/>
                <w:sz w:val="24"/>
              </w:rPr>
            </w:pPr>
            <w:r>
              <w:rPr>
                <w:b/>
                <w:sz w:val="24"/>
              </w:rPr>
              <w:t>I</w:t>
            </w:r>
          </w:p>
        </w:tc>
        <w:tc>
          <w:tcPr>
            <w:tcW w:w="7671" w:type="dxa"/>
          </w:tcPr>
          <w:p w14:paraId="10C4B71C" w14:textId="77777777" w:rsidR="00D03B05" w:rsidRDefault="00D03B05" w:rsidP="006520C9">
            <w:pPr>
              <w:pStyle w:val="TableParagraph"/>
              <w:spacing w:before="39" w:line="300" w:lineRule="atLeast"/>
              <w:ind w:left="126" w:right="275"/>
              <w:rPr>
                <w:sz w:val="24"/>
              </w:rPr>
            </w:pPr>
            <w:r>
              <w:rPr>
                <w:sz w:val="24"/>
              </w:rPr>
              <w:t xml:space="preserve">Grant from tec5USA - Private - entitled "tec5USA Bacon Crude and Volatile Analysis" for period 6/22/19 until expended. Dr. </w:t>
            </w:r>
            <w:proofErr w:type="spellStart"/>
            <w:r>
              <w:rPr>
                <w:sz w:val="24"/>
              </w:rPr>
              <w:t>Xiaofen</w:t>
            </w:r>
            <w:proofErr w:type="spellEnd"/>
            <w:r>
              <w:rPr>
                <w:sz w:val="24"/>
              </w:rPr>
              <w:t xml:space="preserve"> Du is the</w:t>
            </w:r>
          </w:p>
        </w:tc>
        <w:tc>
          <w:tcPr>
            <w:tcW w:w="1078" w:type="dxa"/>
          </w:tcPr>
          <w:p w14:paraId="65B15C26" w14:textId="77777777" w:rsidR="00D03B05" w:rsidRDefault="00D03B05" w:rsidP="006520C9">
            <w:pPr>
              <w:pStyle w:val="TableParagraph"/>
              <w:spacing w:before="63"/>
              <w:ind w:right="49"/>
              <w:jc w:val="right"/>
              <w:rPr>
                <w:sz w:val="24"/>
              </w:rPr>
            </w:pPr>
            <w:r>
              <w:rPr>
                <w:sz w:val="24"/>
              </w:rPr>
              <w:t>3,219</w:t>
            </w:r>
          </w:p>
        </w:tc>
      </w:tr>
      <w:tr w:rsidR="00D03B05" w14:paraId="2468A84D" w14:textId="77777777" w:rsidTr="006520C9">
        <w:trPr>
          <w:trHeight w:val="284"/>
        </w:trPr>
        <w:tc>
          <w:tcPr>
            <w:tcW w:w="423" w:type="dxa"/>
          </w:tcPr>
          <w:p w14:paraId="23CD2BC6" w14:textId="77777777" w:rsidR="00D03B05" w:rsidRDefault="00D03B05" w:rsidP="006520C9">
            <w:pPr>
              <w:pStyle w:val="TableParagraph"/>
              <w:rPr>
                <w:sz w:val="20"/>
              </w:rPr>
            </w:pPr>
          </w:p>
        </w:tc>
        <w:tc>
          <w:tcPr>
            <w:tcW w:w="7671" w:type="dxa"/>
          </w:tcPr>
          <w:p w14:paraId="111502AE" w14:textId="77777777" w:rsidR="00D03B05" w:rsidRDefault="00D03B05" w:rsidP="006520C9">
            <w:pPr>
              <w:pStyle w:val="TableParagraph"/>
              <w:spacing w:before="8" w:line="256" w:lineRule="exact"/>
              <w:ind w:left="126"/>
              <w:rPr>
                <w:sz w:val="24"/>
              </w:rPr>
            </w:pPr>
            <w:r>
              <w:rPr>
                <w:sz w:val="24"/>
              </w:rPr>
              <w:t>project director.</w:t>
            </w:r>
          </w:p>
        </w:tc>
        <w:tc>
          <w:tcPr>
            <w:tcW w:w="1078" w:type="dxa"/>
          </w:tcPr>
          <w:p w14:paraId="6E148614" w14:textId="77777777" w:rsidR="00D03B05" w:rsidRDefault="00D03B05" w:rsidP="006520C9">
            <w:pPr>
              <w:pStyle w:val="TableParagraph"/>
              <w:rPr>
                <w:sz w:val="20"/>
              </w:rPr>
            </w:pPr>
          </w:p>
        </w:tc>
      </w:tr>
    </w:tbl>
    <w:p w14:paraId="5E0D4F56" w14:textId="77777777" w:rsidR="00D03B05" w:rsidRDefault="00D03B05" w:rsidP="00D03B05">
      <w:pPr>
        <w:spacing w:before="4"/>
        <w:rPr>
          <w:sz w:val="26"/>
        </w:rPr>
      </w:pPr>
    </w:p>
    <w:p w14:paraId="3FA98D61" w14:textId="020A86B1" w:rsidR="00D03B05" w:rsidRDefault="00D03B05" w:rsidP="00D03B05">
      <w:pPr>
        <w:tabs>
          <w:tab w:val="left" w:pos="8826"/>
        </w:tabs>
        <w:spacing w:before="95"/>
        <w:ind w:left="6157"/>
      </w:pPr>
      <w:r>
        <w:rPr>
          <w:b/>
        </w:rPr>
        <w:t>Total</w:t>
      </w:r>
      <w:r>
        <w:rPr>
          <w:b/>
          <w:spacing w:val="-2"/>
        </w:rPr>
        <w:t xml:space="preserve"> </w:t>
      </w:r>
      <w:r>
        <w:rPr>
          <w:b/>
        </w:rPr>
        <w:t>Research</w:t>
      </w:r>
      <w:r>
        <w:rPr>
          <w:b/>
          <w:spacing w:val="-3"/>
        </w:rPr>
        <w:t xml:space="preserve"> </w:t>
      </w:r>
      <w:r>
        <w:rPr>
          <w:b/>
        </w:rPr>
        <w:t>Grants</w:t>
      </w:r>
      <w:r>
        <w:rPr>
          <w:b/>
        </w:rPr>
        <w:tab/>
      </w:r>
      <w:r>
        <w:t>$359,997</w:t>
      </w:r>
    </w:p>
    <w:p w14:paraId="6E391975" w14:textId="77777777" w:rsidR="00634CB7" w:rsidRDefault="00634CB7" w:rsidP="00D03B05">
      <w:pPr>
        <w:tabs>
          <w:tab w:val="left" w:pos="8826"/>
        </w:tabs>
        <w:spacing w:before="95"/>
        <w:rPr>
          <w:b/>
        </w:rPr>
      </w:pPr>
    </w:p>
    <w:p w14:paraId="3283BD9B" w14:textId="1A974E99" w:rsidR="00D03B05" w:rsidRPr="00D03B05" w:rsidRDefault="00D03B05" w:rsidP="00D03B05">
      <w:pPr>
        <w:tabs>
          <w:tab w:val="left" w:pos="8826"/>
        </w:tabs>
        <w:spacing w:before="95"/>
        <w:rPr>
          <w:b/>
        </w:rPr>
      </w:pPr>
      <w:r w:rsidRPr="00D03B05">
        <w:rPr>
          <w:b/>
        </w:rPr>
        <w:t>Other Grants</w:t>
      </w:r>
    </w:p>
    <w:p w14:paraId="7DAEE4B0" w14:textId="77777777" w:rsidR="00634CB7" w:rsidRDefault="00634CB7" w:rsidP="00634CB7">
      <w:pPr>
        <w:tabs>
          <w:tab w:val="left" w:pos="8826"/>
        </w:tabs>
        <w:spacing w:before="95"/>
      </w:pPr>
    </w:p>
    <w:tbl>
      <w:tblPr>
        <w:tblW w:w="0" w:type="auto"/>
        <w:tblInd w:w="611" w:type="dxa"/>
        <w:tblLayout w:type="fixed"/>
        <w:tblCellMar>
          <w:left w:w="0" w:type="dxa"/>
          <w:right w:w="0" w:type="dxa"/>
        </w:tblCellMar>
        <w:tblLook w:val="01E0" w:firstRow="1" w:lastRow="1" w:firstColumn="1" w:lastColumn="1" w:noHBand="0" w:noVBand="0"/>
      </w:tblPr>
      <w:tblGrid>
        <w:gridCol w:w="416"/>
        <w:gridCol w:w="7300"/>
        <w:gridCol w:w="1444"/>
      </w:tblGrid>
      <w:tr w:rsidR="00634CB7" w14:paraId="73563CEB" w14:textId="77777777" w:rsidTr="006520C9">
        <w:trPr>
          <w:trHeight w:val="586"/>
        </w:trPr>
        <w:tc>
          <w:tcPr>
            <w:tcW w:w="416" w:type="dxa"/>
          </w:tcPr>
          <w:p w14:paraId="0CCECA02" w14:textId="77777777" w:rsidR="00634CB7" w:rsidRDefault="00634CB7" w:rsidP="006520C9">
            <w:pPr>
              <w:pStyle w:val="TableParagraph"/>
              <w:spacing w:line="271" w:lineRule="exact"/>
              <w:ind w:left="50"/>
              <w:rPr>
                <w:b/>
                <w:sz w:val="24"/>
              </w:rPr>
            </w:pPr>
            <w:r>
              <w:rPr>
                <w:b/>
                <w:sz w:val="24"/>
              </w:rPr>
              <w:t>A.</w:t>
            </w:r>
          </w:p>
        </w:tc>
        <w:tc>
          <w:tcPr>
            <w:tcW w:w="7300" w:type="dxa"/>
          </w:tcPr>
          <w:p w14:paraId="74286A71" w14:textId="77777777" w:rsidR="00634CB7" w:rsidRDefault="00634CB7" w:rsidP="006520C9">
            <w:pPr>
              <w:pStyle w:val="TableParagraph"/>
              <w:spacing w:line="266" w:lineRule="exact"/>
              <w:ind w:left="133"/>
              <w:rPr>
                <w:sz w:val="24"/>
              </w:rPr>
            </w:pPr>
            <w:r>
              <w:rPr>
                <w:sz w:val="24"/>
              </w:rPr>
              <w:t>Grant from HHS - Health Resources &amp; Service Administration -</w:t>
            </w:r>
          </w:p>
          <w:p w14:paraId="4D886856" w14:textId="77777777" w:rsidR="00634CB7" w:rsidRDefault="00634CB7" w:rsidP="006520C9">
            <w:pPr>
              <w:pStyle w:val="TableParagraph"/>
              <w:spacing w:before="26" w:line="274" w:lineRule="exact"/>
              <w:ind w:left="133"/>
              <w:rPr>
                <w:sz w:val="24"/>
              </w:rPr>
            </w:pPr>
            <w:r>
              <w:rPr>
                <w:sz w:val="24"/>
              </w:rPr>
              <w:t>Federal - entitled "Scholarships for Disadvantaged Students (SDS)</w:t>
            </w:r>
          </w:p>
        </w:tc>
        <w:tc>
          <w:tcPr>
            <w:tcW w:w="1444" w:type="dxa"/>
          </w:tcPr>
          <w:p w14:paraId="05178BAE" w14:textId="77777777" w:rsidR="00634CB7" w:rsidRDefault="00634CB7" w:rsidP="006520C9">
            <w:pPr>
              <w:pStyle w:val="TableParagraph"/>
              <w:spacing w:line="266" w:lineRule="exact"/>
              <w:ind w:right="49"/>
              <w:jc w:val="right"/>
              <w:rPr>
                <w:sz w:val="24"/>
              </w:rPr>
            </w:pPr>
            <w:r>
              <w:rPr>
                <w:sz w:val="24"/>
              </w:rPr>
              <w:t>650,000</w:t>
            </w:r>
          </w:p>
        </w:tc>
      </w:tr>
      <w:tr w:rsidR="00634CB7" w14:paraId="7490FF1A" w14:textId="77777777" w:rsidTr="006520C9">
        <w:trPr>
          <w:trHeight w:val="302"/>
        </w:trPr>
        <w:tc>
          <w:tcPr>
            <w:tcW w:w="416" w:type="dxa"/>
          </w:tcPr>
          <w:p w14:paraId="4E6BF1BD" w14:textId="77777777" w:rsidR="00634CB7" w:rsidRDefault="00634CB7" w:rsidP="006520C9">
            <w:pPr>
              <w:pStyle w:val="TableParagraph"/>
            </w:pPr>
          </w:p>
        </w:tc>
        <w:tc>
          <w:tcPr>
            <w:tcW w:w="7300" w:type="dxa"/>
          </w:tcPr>
          <w:p w14:paraId="1E25CEEE" w14:textId="77777777" w:rsidR="00634CB7" w:rsidRDefault="00634CB7" w:rsidP="006520C9">
            <w:pPr>
              <w:pStyle w:val="TableParagraph"/>
              <w:spacing w:before="8" w:line="274" w:lineRule="exact"/>
              <w:ind w:left="133"/>
              <w:rPr>
                <w:sz w:val="24"/>
              </w:rPr>
            </w:pPr>
            <w:r>
              <w:rPr>
                <w:sz w:val="24"/>
              </w:rPr>
              <w:t xml:space="preserve">for period 7/1/19 to 6/30/20. Drs. Jo-Ann </w:t>
            </w:r>
            <w:proofErr w:type="spellStart"/>
            <w:r>
              <w:rPr>
                <w:sz w:val="24"/>
              </w:rPr>
              <w:t>Stankus</w:t>
            </w:r>
            <w:proofErr w:type="spellEnd"/>
            <w:r>
              <w:rPr>
                <w:sz w:val="24"/>
              </w:rPr>
              <w:t xml:space="preserve"> and Peggy</w:t>
            </w:r>
          </w:p>
        </w:tc>
        <w:tc>
          <w:tcPr>
            <w:tcW w:w="1444" w:type="dxa"/>
          </w:tcPr>
          <w:p w14:paraId="2B805030" w14:textId="77777777" w:rsidR="00634CB7" w:rsidRDefault="00634CB7" w:rsidP="006520C9">
            <w:pPr>
              <w:pStyle w:val="TableParagraph"/>
            </w:pPr>
          </w:p>
        </w:tc>
      </w:tr>
      <w:tr w:rsidR="00634CB7" w14:paraId="01788594" w14:textId="77777777" w:rsidTr="006520C9">
        <w:trPr>
          <w:trHeight w:val="372"/>
        </w:trPr>
        <w:tc>
          <w:tcPr>
            <w:tcW w:w="416" w:type="dxa"/>
          </w:tcPr>
          <w:p w14:paraId="79977517" w14:textId="77777777" w:rsidR="00634CB7" w:rsidRDefault="00634CB7" w:rsidP="006520C9">
            <w:pPr>
              <w:pStyle w:val="TableParagraph"/>
            </w:pPr>
          </w:p>
        </w:tc>
        <w:tc>
          <w:tcPr>
            <w:tcW w:w="7300" w:type="dxa"/>
          </w:tcPr>
          <w:p w14:paraId="4273DBE1" w14:textId="77777777" w:rsidR="00634CB7" w:rsidRDefault="00634CB7" w:rsidP="006520C9">
            <w:pPr>
              <w:pStyle w:val="TableParagraph"/>
              <w:spacing w:before="8"/>
              <w:ind w:left="133"/>
              <w:rPr>
                <w:sz w:val="24"/>
              </w:rPr>
            </w:pPr>
            <w:r>
              <w:rPr>
                <w:sz w:val="24"/>
              </w:rPr>
              <w:t>Mancuso are the project directors.</w:t>
            </w:r>
          </w:p>
        </w:tc>
        <w:tc>
          <w:tcPr>
            <w:tcW w:w="1444" w:type="dxa"/>
          </w:tcPr>
          <w:p w14:paraId="71C72F8F" w14:textId="77777777" w:rsidR="00634CB7" w:rsidRDefault="00634CB7" w:rsidP="006520C9">
            <w:pPr>
              <w:pStyle w:val="TableParagraph"/>
            </w:pPr>
          </w:p>
        </w:tc>
      </w:tr>
      <w:tr w:rsidR="00634CB7" w14:paraId="3F6FEFFA" w14:textId="77777777" w:rsidTr="006520C9">
        <w:trPr>
          <w:trHeight w:val="674"/>
        </w:trPr>
        <w:tc>
          <w:tcPr>
            <w:tcW w:w="416" w:type="dxa"/>
          </w:tcPr>
          <w:p w14:paraId="07A91F5D" w14:textId="77777777" w:rsidR="00634CB7" w:rsidRDefault="00634CB7" w:rsidP="006520C9">
            <w:pPr>
              <w:pStyle w:val="TableParagraph"/>
              <w:spacing w:before="82"/>
              <w:ind w:left="50"/>
              <w:rPr>
                <w:b/>
                <w:sz w:val="24"/>
              </w:rPr>
            </w:pPr>
            <w:r>
              <w:rPr>
                <w:b/>
                <w:sz w:val="24"/>
              </w:rPr>
              <w:t>B.</w:t>
            </w:r>
          </w:p>
        </w:tc>
        <w:tc>
          <w:tcPr>
            <w:tcW w:w="7300" w:type="dxa"/>
          </w:tcPr>
          <w:p w14:paraId="7E24E6C8" w14:textId="77777777" w:rsidR="00634CB7" w:rsidRDefault="00634CB7" w:rsidP="006520C9">
            <w:pPr>
              <w:pStyle w:val="TableParagraph"/>
              <w:spacing w:before="53" w:line="300" w:lineRule="atLeast"/>
              <w:ind w:left="133" w:right="948"/>
              <w:rPr>
                <w:sz w:val="24"/>
              </w:rPr>
            </w:pPr>
            <w:r>
              <w:rPr>
                <w:sz w:val="24"/>
              </w:rPr>
              <w:t>Subcontract from the Texas Department of Family &amp; Protective Services on a grant from HHS - Administration for Children and</w:t>
            </w:r>
          </w:p>
        </w:tc>
        <w:tc>
          <w:tcPr>
            <w:tcW w:w="1444" w:type="dxa"/>
          </w:tcPr>
          <w:p w14:paraId="68B6949B" w14:textId="77777777" w:rsidR="00634CB7" w:rsidRDefault="00634CB7" w:rsidP="006520C9">
            <w:pPr>
              <w:pStyle w:val="TableParagraph"/>
              <w:spacing w:before="77"/>
              <w:ind w:right="49"/>
              <w:jc w:val="right"/>
              <w:rPr>
                <w:sz w:val="24"/>
              </w:rPr>
            </w:pPr>
            <w:r>
              <w:rPr>
                <w:sz w:val="24"/>
              </w:rPr>
              <w:t>248,807</w:t>
            </w:r>
          </w:p>
        </w:tc>
      </w:tr>
      <w:tr w:rsidR="00634CB7" w14:paraId="4E269710" w14:textId="77777777" w:rsidTr="006520C9">
        <w:trPr>
          <w:trHeight w:val="302"/>
        </w:trPr>
        <w:tc>
          <w:tcPr>
            <w:tcW w:w="416" w:type="dxa"/>
          </w:tcPr>
          <w:p w14:paraId="4456125A" w14:textId="77777777" w:rsidR="00634CB7" w:rsidRDefault="00634CB7" w:rsidP="006520C9">
            <w:pPr>
              <w:pStyle w:val="TableParagraph"/>
            </w:pPr>
          </w:p>
        </w:tc>
        <w:tc>
          <w:tcPr>
            <w:tcW w:w="7300" w:type="dxa"/>
          </w:tcPr>
          <w:p w14:paraId="350AD9F1" w14:textId="77777777" w:rsidR="00634CB7" w:rsidRDefault="00634CB7" w:rsidP="006520C9">
            <w:pPr>
              <w:pStyle w:val="TableParagraph"/>
              <w:spacing w:before="8" w:line="274" w:lineRule="exact"/>
              <w:ind w:left="133"/>
              <w:rPr>
                <w:sz w:val="24"/>
              </w:rPr>
            </w:pPr>
            <w:r>
              <w:rPr>
                <w:sz w:val="24"/>
              </w:rPr>
              <w:t>Families - Federal - entitled "Social Work Program's IV-E Child</w:t>
            </w:r>
          </w:p>
        </w:tc>
        <w:tc>
          <w:tcPr>
            <w:tcW w:w="1444" w:type="dxa"/>
          </w:tcPr>
          <w:p w14:paraId="7C57C4D2" w14:textId="77777777" w:rsidR="00634CB7" w:rsidRDefault="00634CB7" w:rsidP="006520C9">
            <w:pPr>
              <w:pStyle w:val="TableParagraph"/>
            </w:pPr>
          </w:p>
        </w:tc>
      </w:tr>
      <w:tr w:rsidR="00634CB7" w14:paraId="37A9883C" w14:textId="77777777" w:rsidTr="006520C9">
        <w:trPr>
          <w:trHeight w:val="302"/>
        </w:trPr>
        <w:tc>
          <w:tcPr>
            <w:tcW w:w="416" w:type="dxa"/>
          </w:tcPr>
          <w:p w14:paraId="397E1482" w14:textId="77777777" w:rsidR="00634CB7" w:rsidRDefault="00634CB7" w:rsidP="006520C9">
            <w:pPr>
              <w:pStyle w:val="TableParagraph"/>
            </w:pPr>
          </w:p>
        </w:tc>
        <w:tc>
          <w:tcPr>
            <w:tcW w:w="7300" w:type="dxa"/>
          </w:tcPr>
          <w:p w14:paraId="34E594F2" w14:textId="77777777" w:rsidR="00634CB7" w:rsidRDefault="00634CB7" w:rsidP="006520C9">
            <w:pPr>
              <w:pStyle w:val="TableParagraph"/>
              <w:spacing w:before="8" w:line="274" w:lineRule="exact"/>
              <w:ind w:left="133"/>
              <w:rPr>
                <w:sz w:val="24"/>
              </w:rPr>
            </w:pPr>
            <w:r>
              <w:rPr>
                <w:sz w:val="24"/>
              </w:rPr>
              <w:t>Welfare Training Project at TWU: Partnership between TWU and</w:t>
            </w:r>
          </w:p>
        </w:tc>
        <w:tc>
          <w:tcPr>
            <w:tcW w:w="1444" w:type="dxa"/>
          </w:tcPr>
          <w:p w14:paraId="668FD9F5" w14:textId="77777777" w:rsidR="00634CB7" w:rsidRDefault="00634CB7" w:rsidP="006520C9">
            <w:pPr>
              <w:pStyle w:val="TableParagraph"/>
            </w:pPr>
          </w:p>
        </w:tc>
      </w:tr>
      <w:tr w:rsidR="00634CB7" w14:paraId="02FC826A" w14:textId="77777777" w:rsidTr="006520C9">
        <w:trPr>
          <w:trHeight w:val="302"/>
        </w:trPr>
        <w:tc>
          <w:tcPr>
            <w:tcW w:w="416" w:type="dxa"/>
          </w:tcPr>
          <w:p w14:paraId="7DDC45C7" w14:textId="77777777" w:rsidR="00634CB7" w:rsidRDefault="00634CB7" w:rsidP="006520C9">
            <w:pPr>
              <w:pStyle w:val="TableParagraph"/>
            </w:pPr>
          </w:p>
        </w:tc>
        <w:tc>
          <w:tcPr>
            <w:tcW w:w="7300" w:type="dxa"/>
          </w:tcPr>
          <w:p w14:paraId="066DD749" w14:textId="77777777" w:rsidR="00634CB7" w:rsidRDefault="00634CB7" w:rsidP="006520C9">
            <w:pPr>
              <w:pStyle w:val="TableParagraph"/>
              <w:spacing w:before="8" w:line="274" w:lineRule="exact"/>
              <w:ind w:left="133"/>
              <w:rPr>
                <w:sz w:val="24"/>
              </w:rPr>
            </w:pPr>
            <w:r>
              <w:rPr>
                <w:sz w:val="24"/>
              </w:rPr>
              <w:t>State of Texas for Child Welfare Training of BSW Students" for</w:t>
            </w:r>
          </w:p>
        </w:tc>
        <w:tc>
          <w:tcPr>
            <w:tcW w:w="1444" w:type="dxa"/>
          </w:tcPr>
          <w:p w14:paraId="3EE8C5E4" w14:textId="77777777" w:rsidR="00634CB7" w:rsidRDefault="00634CB7" w:rsidP="006520C9">
            <w:pPr>
              <w:pStyle w:val="TableParagraph"/>
            </w:pPr>
          </w:p>
        </w:tc>
      </w:tr>
      <w:tr w:rsidR="00634CB7" w14:paraId="1F9C8EEC" w14:textId="77777777" w:rsidTr="006520C9">
        <w:trPr>
          <w:trHeight w:val="388"/>
        </w:trPr>
        <w:tc>
          <w:tcPr>
            <w:tcW w:w="416" w:type="dxa"/>
          </w:tcPr>
          <w:p w14:paraId="2C23D408" w14:textId="77777777" w:rsidR="00634CB7" w:rsidRDefault="00634CB7" w:rsidP="006520C9">
            <w:pPr>
              <w:pStyle w:val="TableParagraph"/>
            </w:pPr>
          </w:p>
        </w:tc>
        <w:tc>
          <w:tcPr>
            <w:tcW w:w="7300" w:type="dxa"/>
          </w:tcPr>
          <w:p w14:paraId="758A013C" w14:textId="77777777" w:rsidR="00634CB7" w:rsidRDefault="00634CB7" w:rsidP="006520C9">
            <w:pPr>
              <w:pStyle w:val="TableParagraph"/>
              <w:spacing w:before="8"/>
              <w:ind w:left="133"/>
              <w:rPr>
                <w:sz w:val="24"/>
              </w:rPr>
            </w:pPr>
            <w:r>
              <w:rPr>
                <w:sz w:val="24"/>
              </w:rPr>
              <w:t xml:space="preserve">period 7/1/19 to 6/30/20. Dr. </w:t>
            </w:r>
            <w:proofErr w:type="spellStart"/>
            <w:r>
              <w:rPr>
                <w:sz w:val="24"/>
              </w:rPr>
              <w:t>Nila</w:t>
            </w:r>
            <w:proofErr w:type="spellEnd"/>
            <w:r>
              <w:rPr>
                <w:sz w:val="24"/>
              </w:rPr>
              <w:t xml:space="preserve"> Ricks is the project director.</w:t>
            </w:r>
          </w:p>
        </w:tc>
        <w:tc>
          <w:tcPr>
            <w:tcW w:w="1444" w:type="dxa"/>
          </w:tcPr>
          <w:p w14:paraId="4A5E52D5" w14:textId="77777777" w:rsidR="00634CB7" w:rsidRDefault="00634CB7" w:rsidP="006520C9">
            <w:pPr>
              <w:pStyle w:val="TableParagraph"/>
            </w:pPr>
          </w:p>
        </w:tc>
      </w:tr>
      <w:tr w:rsidR="00634CB7" w14:paraId="154165F2" w14:textId="77777777" w:rsidTr="006520C9">
        <w:trPr>
          <w:trHeight w:val="691"/>
        </w:trPr>
        <w:tc>
          <w:tcPr>
            <w:tcW w:w="416" w:type="dxa"/>
          </w:tcPr>
          <w:p w14:paraId="5423A988" w14:textId="441209CA" w:rsidR="00634CB7" w:rsidRDefault="00634CB7" w:rsidP="006520C9">
            <w:pPr>
              <w:pStyle w:val="TableParagraph"/>
              <w:spacing w:before="99"/>
              <w:ind w:left="50"/>
              <w:rPr>
                <w:b/>
                <w:sz w:val="24"/>
              </w:rPr>
            </w:pPr>
            <w:r>
              <w:rPr>
                <w:b/>
                <w:sz w:val="24"/>
              </w:rPr>
              <w:t>C.</w:t>
            </w:r>
          </w:p>
        </w:tc>
        <w:tc>
          <w:tcPr>
            <w:tcW w:w="7300" w:type="dxa"/>
          </w:tcPr>
          <w:p w14:paraId="772BB047" w14:textId="77777777" w:rsidR="00634CB7" w:rsidRDefault="00634CB7" w:rsidP="006520C9">
            <w:pPr>
              <w:pStyle w:val="TableParagraph"/>
              <w:spacing w:before="70" w:line="300" w:lineRule="atLeast"/>
              <w:ind w:left="133" w:right="1552"/>
              <w:rPr>
                <w:sz w:val="24"/>
              </w:rPr>
            </w:pPr>
            <w:r>
              <w:rPr>
                <w:sz w:val="24"/>
              </w:rPr>
              <w:t>Grant from Medical City Healthcare - Private - entitled "Perioperative Nursing Externship" for period 4/1/19 until</w:t>
            </w:r>
          </w:p>
        </w:tc>
        <w:tc>
          <w:tcPr>
            <w:tcW w:w="1444" w:type="dxa"/>
          </w:tcPr>
          <w:p w14:paraId="621686E2" w14:textId="77777777" w:rsidR="00634CB7" w:rsidRDefault="00634CB7" w:rsidP="006520C9">
            <w:pPr>
              <w:pStyle w:val="TableParagraph"/>
              <w:spacing w:before="94"/>
              <w:ind w:right="52"/>
              <w:jc w:val="right"/>
              <w:rPr>
                <w:sz w:val="24"/>
              </w:rPr>
            </w:pPr>
            <w:r>
              <w:rPr>
                <w:sz w:val="24"/>
              </w:rPr>
              <w:t>36,000</w:t>
            </w:r>
          </w:p>
        </w:tc>
      </w:tr>
      <w:tr w:rsidR="00634CB7" w14:paraId="195C7F74" w14:textId="77777777" w:rsidTr="006520C9">
        <w:trPr>
          <w:trHeight w:val="385"/>
        </w:trPr>
        <w:tc>
          <w:tcPr>
            <w:tcW w:w="416" w:type="dxa"/>
          </w:tcPr>
          <w:p w14:paraId="08F0A03A" w14:textId="77777777" w:rsidR="00634CB7" w:rsidRDefault="00634CB7" w:rsidP="006520C9">
            <w:pPr>
              <w:pStyle w:val="TableParagraph"/>
            </w:pPr>
          </w:p>
        </w:tc>
        <w:tc>
          <w:tcPr>
            <w:tcW w:w="7300" w:type="dxa"/>
          </w:tcPr>
          <w:p w14:paraId="123F8419" w14:textId="77777777" w:rsidR="00634CB7" w:rsidRDefault="00634CB7" w:rsidP="006520C9">
            <w:pPr>
              <w:pStyle w:val="TableParagraph"/>
              <w:spacing w:before="8"/>
              <w:ind w:left="133"/>
              <w:rPr>
                <w:sz w:val="24"/>
              </w:rPr>
            </w:pPr>
            <w:r>
              <w:rPr>
                <w:sz w:val="24"/>
              </w:rPr>
              <w:t>expended. Ms. Kristine Morris is the project director.</w:t>
            </w:r>
          </w:p>
        </w:tc>
        <w:tc>
          <w:tcPr>
            <w:tcW w:w="1444" w:type="dxa"/>
          </w:tcPr>
          <w:p w14:paraId="29BB814F" w14:textId="77777777" w:rsidR="00634CB7" w:rsidRDefault="00634CB7" w:rsidP="006520C9">
            <w:pPr>
              <w:pStyle w:val="TableParagraph"/>
            </w:pPr>
          </w:p>
        </w:tc>
      </w:tr>
      <w:tr w:rsidR="00634CB7" w14:paraId="19F838FE" w14:textId="77777777" w:rsidTr="006520C9">
        <w:trPr>
          <w:trHeight w:val="687"/>
        </w:trPr>
        <w:tc>
          <w:tcPr>
            <w:tcW w:w="416" w:type="dxa"/>
          </w:tcPr>
          <w:p w14:paraId="0C92511F" w14:textId="59B4B58D" w:rsidR="00634CB7" w:rsidRDefault="00634CB7" w:rsidP="006520C9">
            <w:pPr>
              <w:pStyle w:val="TableParagraph"/>
              <w:spacing w:before="95"/>
              <w:ind w:left="50"/>
              <w:rPr>
                <w:b/>
                <w:sz w:val="24"/>
              </w:rPr>
            </w:pPr>
            <w:r>
              <w:rPr>
                <w:b/>
                <w:sz w:val="24"/>
              </w:rPr>
              <w:t>D.</w:t>
            </w:r>
          </w:p>
        </w:tc>
        <w:tc>
          <w:tcPr>
            <w:tcW w:w="7300" w:type="dxa"/>
          </w:tcPr>
          <w:p w14:paraId="643ECCC7" w14:textId="77777777" w:rsidR="00634CB7" w:rsidRDefault="00634CB7" w:rsidP="006520C9">
            <w:pPr>
              <w:pStyle w:val="TableParagraph"/>
              <w:spacing w:before="67" w:line="300" w:lineRule="atLeast"/>
              <w:ind w:left="133" w:right="592"/>
              <w:rPr>
                <w:sz w:val="24"/>
              </w:rPr>
            </w:pPr>
            <w:r>
              <w:rPr>
                <w:sz w:val="24"/>
              </w:rPr>
              <w:t>Grant from the U.S. Department of Education - Federal - entitled "TWU Work Study Job Location and Development Program (JLD)"</w:t>
            </w:r>
          </w:p>
        </w:tc>
        <w:tc>
          <w:tcPr>
            <w:tcW w:w="1444" w:type="dxa"/>
          </w:tcPr>
          <w:p w14:paraId="5842E92D" w14:textId="77777777" w:rsidR="00634CB7" w:rsidRDefault="00634CB7" w:rsidP="006520C9">
            <w:pPr>
              <w:pStyle w:val="TableParagraph"/>
              <w:spacing w:before="91"/>
              <w:ind w:right="52"/>
              <w:jc w:val="right"/>
              <w:rPr>
                <w:sz w:val="24"/>
              </w:rPr>
            </w:pPr>
            <w:r>
              <w:rPr>
                <w:sz w:val="24"/>
              </w:rPr>
              <w:t>58,000</w:t>
            </w:r>
          </w:p>
        </w:tc>
      </w:tr>
      <w:tr w:rsidR="00634CB7" w14:paraId="7F6D7638" w14:textId="77777777" w:rsidTr="006520C9">
        <w:trPr>
          <w:trHeight w:val="302"/>
        </w:trPr>
        <w:tc>
          <w:tcPr>
            <w:tcW w:w="416" w:type="dxa"/>
          </w:tcPr>
          <w:p w14:paraId="62AF335A" w14:textId="77777777" w:rsidR="00634CB7" w:rsidRDefault="00634CB7" w:rsidP="006520C9">
            <w:pPr>
              <w:pStyle w:val="TableParagraph"/>
            </w:pPr>
          </w:p>
        </w:tc>
        <w:tc>
          <w:tcPr>
            <w:tcW w:w="7300" w:type="dxa"/>
          </w:tcPr>
          <w:p w14:paraId="7651DDAE" w14:textId="77777777" w:rsidR="00634CB7" w:rsidRDefault="00634CB7" w:rsidP="006520C9">
            <w:pPr>
              <w:pStyle w:val="TableParagraph"/>
              <w:spacing w:before="8" w:line="274" w:lineRule="exact"/>
              <w:ind w:left="133"/>
              <w:rPr>
                <w:sz w:val="24"/>
              </w:rPr>
            </w:pPr>
            <w:r>
              <w:rPr>
                <w:sz w:val="24"/>
              </w:rPr>
              <w:t>for period 7/1/19 to 6/30/20. Ms. Laura Shackelford is the project</w:t>
            </w:r>
          </w:p>
        </w:tc>
        <w:tc>
          <w:tcPr>
            <w:tcW w:w="1444" w:type="dxa"/>
          </w:tcPr>
          <w:p w14:paraId="3DB2622F" w14:textId="77777777" w:rsidR="00634CB7" w:rsidRDefault="00634CB7" w:rsidP="006520C9">
            <w:pPr>
              <w:pStyle w:val="TableParagraph"/>
            </w:pPr>
          </w:p>
        </w:tc>
      </w:tr>
      <w:tr w:rsidR="00634CB7" w14:paraId="54B44EB7" w14:textId="77777777" w:rsidTr="006520C9">
        <w:trPr>
          <w:trHeight w:val="284"/>
        </w:trPr>
        <w:tc>
          <w:tcPr>
            <w:tcW w:w="416" w:type="dxa"/>
          </w:tcPr>
          <w:p w14:paraId="255D37AF" w14:textId="77777777" w:rsidR="00634CB7" w:rsidRDefault="00634CB7" w:rsidP="006520C9">
            <w:pPr>
              <w:pStyle w:val="TableParagraph"/>
              <w:rPr>
                <w:sz w:val="20"/>
              </w:rPr>
            </w:pPr>
          </w:p>
        </w:tc>
        <w:tc>
          <w:tcPr>
            <w:tcW w:w="7300" w:type="dxa"/>
          </w:tcPr>
          <w:p w14:paraId="042DF970" w14:textId="77777777" w:rsidR="00634CB7" w:rsidRDefault="00634CB7" w:rsidP="006520C9">
            <w:pPr>
              <w:pStyle w:val="TableParagraph"/>
              <w:spacing w:before="8" w:line="256" w:lineRule="exact"/>
              <w:ind w:left="133"/>
              <w:rPr>
                <w:sz w:val="24"/>
              </w:rPr>
            </w:pPr>
            <w:r>
              <w:rPr>
                <w:sz w:val="24"/>
              </w:rPr>
              <w:t>director.</w:t>
            </w:r>
          </w:p>
        </w:tc>
        <w:tc>
          <w:tcPr>
            <w:tcW w:w="1444" w:type="dxa"/>
          </w:tcPr>
          <w:p w14:paraId="72C6EE63" w14:textId="77777777" w:rsidR="00634CB7" w:rsidRDefault="00634CB7" w:rsidP="006520C9">
            <w:pPr>
              <w:pStyle w:val="TableParagraph"/>
              <w:rPr>
                <w:sz w:val="20"/>
              </w:rPr>
            </w:pPr>
          </w:p>
        </w:tc>
      </w:tr>
    </w:tbl>
    <w:p w14:paraId="34EA09A0" w14:textId="1461279B" w:rsidR="00634CB7" w:rsidRDefault="00634CB7" w:rsidP="00634CB7">
      <w:pPr>
        <w:tabs>
          <w:tab w:val="left" w:pos="8809"/>
        </w:tabs>
        <w:spacing w:before="206"/>
        <w:ind w:left="5764"/>
      </w:pPr>
      <w:bookmarkStart w:id="0" w:name="_GoBack"/>
      <w:r>
        <w:rPr>
          <w:noProof/>
          <w:sz w:val="22"/>
        </w:rPr>
        <mc:AlternateContent>
          <mc:Choice Requires="wps">
            <w:drawing>
              <wp:anchor distT="0" distB="0" distL="0" distR="0" simplePos="0" relativeHeight="251659264" behindDoc="1" locked="0" layoutInCell="1" allowOverlap="1" wp14:anchorId="5929D555" wp14:editId="0DA9E16E">
                <wp:simplePos x="0" y="0"/>
                <wp:positionH relativeFrom="page">
                  <wp:posOffset>5576570</wp:posOffset>
                </wp:positionH>
                <wp:positionV relativeFrom="paragraph">
                  <wp:posOffset>332740</wp:posOffset>
                </wp:positionV>
                <wp:extent cx="1238885" cy="0"/>
                <wp:effectExtent l="13970" t="9525" r="13970" b="9525"/>
                <wp:wrapTopAndBottom/>
                <wp:docPr id="4" name="Straight Connector 4" descr="Line indicating total amount above it" title="Line under total"/>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88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C44FB" id="Straight Connector 4" o:spid="_x0000_s1026" alt="Title: Line under total - Description: Line indicating total amount above it"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9.1pt,26.2pt" to="536.65pt,2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" strokeweight=".96pt">
                <w10:wrap type="topAndBottom" anchorx="page"/>
              </v:line>
            </w:pict>
          </mc:Fallback>
        </mc:AlternateContent>
      </w:r>
      <w:bookmarkEnd w:id="0"/>
      <w:r>
        <w:rPr>
          <w:b/>
        </w:rPr>
        <w:t>Total Other Grants</w:t>
      </w:r>
      <w:r>
        <w:rPr>
          <w:b/>
        </w:rPr>
        <w:tab/>
      </w:r>
      <w:r>
        <w:t>$992,807</w:t>
      </w:r>
    </w:p>
    <w:p w14:paraId="1180209C" w14:textId="77777777" w:rsidR="00634CB7" w:rsidRDefault="00634CB7" w:rsidP="00634CB7">
      <w:pPr>
        <w:spacing w:before="10"/>
        <w:rPr>
          <w:sz w:val="27"/>
        </w:rPr>
      </w:pPr>
    </w:p>
    <w:tbl>
      <w:tblPr>
        <w:tblW w:w="0" w:type="auto"/>
        <w:tblInd w:w="1900" w:type="dxa"/>
        <w:tblLayout w:type="fixed"/>
        <w:tblCellMar>
          <w:left w:w="0" w:type="dxa"/>
          <w:right w:w="0" w:type="dxa"/>
        </w:tblCellMar>
        <w:tblLook w:val="01E0" w:firstRow="1" w:lastRow="1" w:firstColumn="1" w:lastColumn="1" w:noHBand="0" w:noVBand="0"/>
      </w:tblPr>
      <w:tblGrid>
        <w:gridCol w:w="2378"/>
        <w:gridCol w:w="3533"/>
      </w:tblGrid>
      <w:tr w:rsidR="00634CB7" w14:paraId="392BA52F" w14:textId="77777777" w:rsidTr="006520C9">
        <w:trPr>
          <w:trHeight w:val="354"/>
        </w:trPr>
        <w:tc>
          <w:tcPr>
            <w:tcW w:w="2378" w:type="dxa"/>
          </w:tcPr>
          <w:p w14:paraId="7B6FC035" w14:textId="77777777" w:rsidR="00634CB7" w:rsidRDefault="00634CB7" w:rsidP="006520C9">
            <w:pPr>
              <w:pStyle w:val="TableParagraph"/>
              <w:spacing w:line="266" w:lineRule="exact"/>
              <w:ind w:left="50"/>
              <w:rPr>
                <w:b/>
                <w:sz w:val="24"/>
              </w:rPr>
            </w:pPr>
            <w:r>
              <w:rPr>
                <w:b/>
                <w:sz w:val="24"/>
              </w:rPr>
              <w:t>SUMMARY</w:t>
            </w:r>
          </w:p>
        </w:tc>
        <w:tc>
          <w:tcPr>
            <w:tcW w:w="3533" w:type="dxa"/>
          </w:tcPr>
          <w:p w14:paraId="092DB2A9" w14:textId="77777777" w:rsidR="00634CB7" w:rsidRDefault="00634CB7" w:rsidP="006520C9">
            <w:pPr>
              <w:pStyle w:val="TableParagraph"/>
              <w:tabs>
                <w:tab w:val="left" w:pos="1756"/>
              </w:tabs>
              <w:spacing w:line="266" w:lineRule="exact"/>
              <w:ind w:right="35"/>
              <w:jc w:val="right"/>
              <w:rPr>
                <w:b/>
                <w:sz w:val="24"/>
              </w:rPr>
            </w:pPr>
            <w:r>
              <w:rPr>
                <w:b/>
                <w:sz w:val="24"/>
              </w:rPr>
              <w:t>AUG-FY18</w:t>
            </w:r>
            <w:r>
              <w:rPr>
                <w:b/>
                <w:sz w:val="24"/>
              </w:rPr>
              <w:tab/>
            </w:r>
            <w:r>
              <w:rPr>
                <w:b/>
                <w:spacing w:val="-1"/>
                <w:sz w:val="24"/>
              </w:rPr>
              <w:t>AUG-FY19</w:t>
            </w:r>
          </w:p>
        </w:tc>
      </w:tr>
      <w:tr w:rsidR="00634CB7" w14:paraId="4F820853" w14:textId="77777777" w:rsidTr="006520C9">
        <w:trPr>
          <w:trHeight w:val="376"/>
        </w:trPr>
        <w:tc>
          <w:tcPr>
            <w:tcW w:w="2378" w:type="dxa"/>
          </w:tcPr>
          <w:p w14:paraId="5A6CC0DB" w14:textId="77777777" w:rsidR="00634CB7" w:rsidRDefault="00634CB7" w:rsidP="006520C9">
            <w:pPr>
              <w:pStyle w:val="TableParagraph"/>
              <w:spacing w:before="83" w:line="273" w:lineRule="exact"/>
              <w:ind w:left="50"/>
              <w:rPr>
                <w:b/>
                <w:sz w:val="24"/>
              </w:rPr>
            </w:pPr>
            <w:r>
              <w:rPr>
                <w:b/>
                <w:sz w:val="24"/>
              </w:rPr>
              <w:t>Research Grants</w:t>
            </w:r>
          </w:p>
        </w:tc>
        <w:tc>
          <w:tcPr>
            <w:tcW w:w="3533" w:type="dxa"/>
          </w:tcPr>
          <w:p w14:paraId="192F8806" w14:textId="77777777" w:rsidR="00634CB7" w:rsidRDefault="00634CB7" w:rsidP="006520C9">
            <w:pPr>
              <w:pStyle w:val="TableParagraph"/>
              <w:tabs>
                <w:tab w:val="left" w:pos="1756"/>
              </w:tabs>
              <w:spacing w:before="79"/>
              <w:ind w:right="41"/>
              <w:jc w:val="right"/>
              <w:rPr>
                <w:sz w:val="24"/>
              </w:rPr>
            </w:pPr>
            <w:r>
              <w:rPr>
                <w:sz w:val="24"/>
              </w:rPr>
              <w:t>131,993</w:t>
            </w:r>
            <w:r>
              <w:rPr>
                <w:sz w:val="24"/>
              </w:rPr>
              <w:tab/>
              <w:t>359,997</w:t>
            </w:r>
          </w:p>
        </w:tc>
      </w:tr>
      <w:tr w:rsidR="00634CB7" w14:paraId="580265ED" w14:textId="77777777" w:rsidTr="006520C9">
        <w:trPr>
          <w:trHeight w:val="304"/>
        </w:trPr>
        <w:tc>
          <w:tcPr>
            <w:tcW w:w="2378" w:type="dxa"/>
          </w:tcPr>
          <w:p w14:paraId="4A863031" w14:textId="77777777" w:rsidR="00634CB7" w:rsidRDefault="00634CB7" w:rsidP="006520C9">
            <w:pPr>
              <w:pStyle w:val="TableParagraph"/>
              <w:spacing w:before="11" w:line="273" w:lineRule="exact"/>
              <w:ind w:left="50"/>
              <w:rPr>
                <w:b/>
                <w:sz w:val="24"/>
              </w:rPr>
            </w:pPr>
            <w:r>
              <w:rPr>
                <w:b/>
                <w:sz w:val="24"/>
              </w:rPr>
              <w:t>Other Grants</w:t>
            </w:r>
          </w:p>
        </w:tc>
        <w:tc>
          <w:tcPr>
            <w:tcW w:w="3533" w:type="dxa"/>
          </w:tcPr>
          <w:p w14:paraId="18F3B20D" w14:textId="77777777" w:rsidR="00634CB7" w:rsidRDefault="00634CB7" w:rsidP="006520C9">
            <w:pPr>
              <w:pStyle w:val="TableParagraph"/>
              <w:tabs>
                <w:tab w:val="left" w:pos="772"/>
                <w:tab w:val="left" w:pos="2709"/>
              </w:tabs>
              <w:spacing w:before="7"/>
              <w:ind w:right="41"/>
              <w:jc w:val="right"/>
              <w:rPr>
                <w:sz w:val="24"/>
              </w:rPr>
            </w:pPr>
            <w:r>
              <w:rPr>
                <w:sz w:val="24"/>
                <w:u w:val="single"/>
              </w:rPr>
              <w:t xml:space="preserve"> </w:t>
            </w:r>
            <w:r>
              <w:rPr>
                <w:sz w:val="24"/>
                <w:u w:val="single"/>
              </w:rPr>
              <w:tab/>
              <w:t>1,725,879</w:t>
            </w:r>
            <w:r>
              <w:rPr>
                <w:sz w:val="24"/>
                <w:u w:val="single"/>
              </w:rPr>
              <w:tab/>
            </w:r>
            <w:r>
              <w:rPr>
                <w:spacing w:val="-3"/>
                <w:sz w:val="24"/>
                <w:u w:val="single"/>
              </w:rPr>
              <w:t>992,807</w:t>
            </w:r>
          </w:p>
        </w:tc>
      </w:tr>
      <w:tr w:rsidR="00634CB7" w14:paraId="175C7F7A" w14:textId="77777777" w:rsidTr="006520C9">
        <w:trPr>
          <w:trHeight w:val="324"/>
        </w:trPr>
        <w:tc>
          <w:tcPr>
            <w:tcW w:w="2378" w:type="dxa"/>
          </w:tcPr>
          <w:p w14:paraId="6F0D20B1" w14:textId="77777777" w:rsidR="00634CB7" w:rsidRDefault="00634CB7" w:rsidP="006520C9">
            <w:pPr>
              <w:pStyle w:val="TableParagraph"/>
              <w:spacing w:before="11"/>
              <w:ind w:left="50"/>
              <w:rPr>
                <w:b/>
                <w:sz w:val="24"/>
              </w:rPr>
            </w:pPr>
            <w:r>
              <w:rPr>
                <w:b/>
                <w:sz w:val="24"/>
              </w:rPr>
              <w:t>All Grants</w:t>
            </w:r>
          </w:p>
        </w:tc>
        <w:tc>
          <w:tcPr>
            <w:tcW w:w="3533" w:type="dxa"/>
            <w:tcBorders>
              <w:bottom w:val="single" w:sz="8" w:space="0" w:color="000000"/>
            </w:tcBorders>
          </w:tcPr>
          <w:p w14:paraId="65AC2035" w14:textId="77777777" w:rsidR="00634CB7" w:rsidRDefault="00634CB7" w:rsidP="006520C9">
            <w:pPr>
              <w:pStyle w:val="TableParagraph"/>
              <w:tabs>
                <w:tab w:val="left" w:pos="772"/>
                <w:tab w:val="left" w:pos="2529"/>
              </w:tabs>
              <w:spacing w:before="7"/>
              <w:ind w:right="41"/>
              <w:jc w:val="right"/>
              <w:rPr>
                <w:sz w:val="24"/>
              </w:rPr>
            </w:pPr>
            <w:r>
              <w:rPr>
                <w:sz w:val="24"/>
                <w:u w:val="single"/>
              </w:rPr>
              <w:t xml:space="preserve"> </w:t>
            </w:r>
            <w:r>
              <w:rPr>
                <w:sz w:val="24"/>
                <w:u w:val="single"/>
              </w:rPr>
              <w:tab/>
              <w:t>1,857,872</w:t>
            </w:r>
            <w:r>
              <w:rPr>
                <w:sz w:val="24"/>
                <w:u w:val="single"/>
              </w:rPr>
              <w:tab/>
            </w:r>
            <w:r>
              <w:rPr>
                <w:spacing w:val="-2"/>
                <w:sz w:val="24"/>
                <w:u w:val="single"/>
              </w:rPr>
              <w:t>1,352,804</w:t>
            </w:r>
          </w:p>
        </w:tc>
      </w:tr>
    </w:tbl>
    <w:p w14:paraId="52932637" w14:textId="77777777" w:rsidR="00634CB7" w:rsidRDefault="00634CB7" w:rsidP="00634CB7">
      <w:pPr>
        <w:rPr>
          <w:sz w:val="20"/>
        </w:rPr>
      </w:pPr>
    </w:p>
    <w:p w14:paraId="4FEAA938" w14:textId="77777777" w:rsidR="00D360A3" w:rsidRPr="00812723" w:rsidRDefault="00D360A3" w:rsidP="00D360A3">
      <w:pPr>
        <w:jc w:val="both"/>
        <w:rPr>
          <w:b/>
        </w:rPr>
      </w:pPr>
    </w:p>
    <w:p w14:paraId="786AA5A7" w14:textId="09B03407" w:rsidR="00D360A3" w:rsidRPr="00812723" w:rsidRDefault="00D360A3" w:rsidP="00D360A3">
      <w:pPr>
        <w:jc w:val="both"/>
        <w:rPr>
          <w:b/>
        </w:rPr>
      </w:pPr>
      <w:r w:rsidRPr="00812723">
        <w:rPr>
          <w:b/>
          <w:u w:val="single"/>
        </w:rPr>
        <w:lastRenderedPageBreak/>
        <w:t>Motion to Move Approval of Item to Consent Agenda:</w:t>
      </w:r>
      <w:r w:rsidRPr="00812723">
        <w:t xml:space="preserve"> Regent </w:t>
      </w:r>
      <w:r w:rsidR="00142417">
        <w:rPr>
          <w:b/>
        </w:rPr>
        <w:t>Hyde</w:t>
      </w:r>
      <w:r w:rsidRPr="00812723">
        <w:t xml:space="preserve"> motioned and Regent </w:t>
      </w:r>
      <w:r w:rsidR="00142417">
        <w:rPr>
          <w:b/>
        </w:rPr>
        <w:t>Wilson</w:t>
      </w:r>
      <w:r w:rsidRPr="00812723" w:rsidDel="00C44820">
        <w:t xml:space="preserve"> </w:t>
      </w:r>
      <w:r w:rsidRPr="00812723">
        <w:t>seconded. The motion passed with a vote of</w:t>
      </w:r>
      <w:r w:rsidR="00142417">
        <w:rPr>
          <w:b/>
        </w:rPr>
        <w:t xml:space="preserve"> 4</w:t>
      </w:r>
      <w:r w:rsidRPr="00812723">
        <w:rPr>
          <w:b/>
        </w:rPr>
        <w:t>-0-0.</w:t>
      </w:r>
    </w:p>
    <w:p w14:paraId="2868D207" w14:textId="77777777" w:rsidR="00D360A3" w:rsidRDefault="00D360A3" w:rsidP="004D3677">
      <w:pPr>
        <w:jc w:val="both"/>
        <w:rPr>
          <w:b/>
        </w:rPr>
      </w:pPr>
    </w:p>
    <w:p w14:paraId="7E2D063D" w14:textId="7601807C" w:rsidR="00D360A3" w:rsidRPr="00812723" w:rsidRDefault="00D360A3" w:rsidP="00D360A3">
      <w:pPr>
        <w:jc w:val="both"/>
        <w:rPr>
          <w:b/>
        </w:rPr>
      </w:pPr>
      <w:r>
        <w:rPr>
          <w:b/>
        </w:rPr>
        <w:t>Item L</w:t>
      </w:r>
      <w:r w:rsidRPr="00812723">
        <w:rPr>
          <w:b/>
        </w:rPr>
        <w:t xml:space="preserve">. </w:t>
      </w:r>
      <w:r>
        <w:t>Recommended Approval of the Budget for Fiscal Year 2020</w:t>
      </w:r>
    </w:p>
    <w:p w14:paraId="20555A15" w14:textId="77777777" w:rsidR="00D360A3" w:rsidRPr="00812723" w:rsidRDefault="00D360A3" w:rsidP="00D360A3">
      <w:pPr>
        <w:jc w:val="both"/>
      </w:pPr>
    </w:p>
    <w:p w14:paraId="056D9E4A" w14:textId="3F3BD906" w:rsidR="00D360A3" w:rsidRDefault="00EE4625" w:rsidP="00EE4625">
      <w:pPr>
        <w:jc w:val="both"/>
      </w:pPr>
      <w:r>
        <w:t>Mr. Tomlinson recommended that the Board appro</w:t>
      </w:r>
      <w:r w:rsidR="00B86336">
        <w:t>ve the proposed Fiscal Year 2020</w:t>
      </w:r>
      <w:r>
        <w:t xml:space="preserve"> Budget with its allocation and expenditure of:</w:t>
      </w:r>
    </w:p>
    <w:p w14:paraId="541AE1F9" w14:textId="77777777" w:rsidR="00EE4625" w:rsidRDefault="00EE4625" w:rsidP="00EE4625">
      <w:pPr>
        <w:jc w:val="both"/>
      </w:pPr>
    </w:p>
    <w:p w14:paraId="0BEF4655" w14:textId="77777777" w:rsidR="00EE4625" w:rsidRDefault="00EE4625" w:rsidP="00EE4625">
      <w:pPr>
        <w:pStyle w:val="ListParagraph"/>
        <w:widowControl/>
        <w:numPr>
          <w:ilvl w:val="0"/>
          <w:numId w:val="13"/>
        </w:numPr>
        <w:adjustRightInd/>
        <w:spacing w:after="160" w:line="259" w:lineRule="auto"/>
        <w:jc w:val="both"/>
      </w:pPr>
      <w:r>
        <w:t>2020-21 State Appropriated Funds</w:t>
      </w:r>
    </w:p>
    <w:p w14:paraId="7569EC23" w14:textId="77777777" w:rsidR="00EE4625" w:rsidRDefault="00EE4625" w:rsidP="00EE4625">
      <w:pPr>
        <w:pStyle w:val="ListParagraph"/>
        <w:widowControl/>
        <w:numPr>
          <w:ilvl w:val="0"/>
          <w:numId w:val="13"/>
        </w:numPr>
        <w:adjustRightInd/>
        <w:spacing w:after="160" w:line="259" w:lineRule="auto"/>
        <w:jc w:val="both"/>
      </w:pPr>
      <w:r>
        <w:t>Tuition and fee increases approved by the Board of Regents February 2018</w:t>
      </w:r>
    </w:p>
    <w:p w14:paraId="4B2E00BC" w14:textId="77777777" w:rsidR="00EE4625" w:rsidRDefault="00EE4625" w:rsidP="00EE4625">
      <w:pPr>
        <w:pStyle w:val="ListParagraph"/>
        <w:widowControl/>
        <w:numPr>
          <w:ilvl w:val="0"/>
          <w:numId w:val="13"/>
        </w:numPr>
        <w:adjustRightInd/>
        <w:spacing w:after="160" w:line="259" w:lineRule="auto"/>
        <w:jc w:val="both"/>
      </w:pPr>
      <w:r>
        <w:t>Housing and Dining rates approved by the Board of Regents in conjunction with the P3 project</w:t>
      </w:r>
    </w:p>
    <w:p w14:paraId="2D804EE6" w14:textId="3EDF108D" w:rsidR="00EE4625" w:rsidRDefault="00EE4625" w:rsidP="00EE4625">
      <w:pPr>
        <w:pStyle w:val="ListParagraph"/>
        <w:widowControl/>
        <w:numPr>
          <w:ilvl w:val="0"/>
          <w:numId w:val="13"/>
        </w:numPr>
        <w:adjustRightInd/>
        <w:spacing w:after="160" w:line="259" w:lineRule="auto"/>
        <w:jc w:val="both"/>
      </w:pPr>
      <w:r>
        <w:t>5% budget reallocation of fees and differential tuition</w:t>
      </w:r>
    </w:p>
    <w:p w14:paraId="3CAC095C" w14:textId="77777777" w:rsidR="00EE4625" w:rsidRDefault="00EE4625" w:rsidP="00EE4625">
      <w:pPr>
        <w:jc w:val="both"/>
      </w:pPr>
      <w:r>
        <w:t>Mr. Tomlinson noted that the Board of Regents is responsible for the approval of the annual operating budget within the limits of the available revenue by September 1</w:t>
      </w:r>
      <w:r w:rsidRPr="00867523">
        <w:rPr>
          <w:vertAlign w:val="superscript"/>
        </w:rPr>
        <w:t>st</w:t>
      </w:r>
      <w:r>
        <w:t xml:space="preserve"> of each year. (General Appropriations Act)</w:t>
      </w:r>
    </w:p>
    <w:p w14:paraId="2EEA41D3" w14:textId="77777777" w:rsidR="00EE4625" w:rsidRDefault="00EE4625" w:rsidP="00EE4625">
      <w:pPr>
        <w:jc w:val="both"/>
      </w:pPr>
    </w:p>
    <w:p w14:paraId="715DB4D8" w14:textId="5734FA45" w:rsidR="00EE4625" w:rsidRDefault="00EE4625" w:rsidP="00EE4625">
      <w:pPr>
        <w:jc w:val="both"/>
      </w:pPr>
      <w:r>
        <w:t>Budget Increases</w:t>
      </w:r>
      <w:r w:rsidR="00111D8D">
        <w:t>:</w:t>
      </w:r>
    </w:p>
    <w:p w14:paraId="2EEFE86A" w14:textId="32EFA719" w:rsidR="00EE4625" w:rsidRDefault="00EE4625" w:rsidP="00EE4625">
      <w:pPr>
        <w:jc w:val="both"/>
      </w:pPr>
      <w:r>
        <w:br/>
        <w:t xml:space="preserve"> 1) State Appropriated Funds – Increases to the operating budget from any state appropriated funding source requires advance approval of the Board.</w:t>
      </w:r>
    </w:p>
    <w:p w14:paraId="44B3E3C1" w14:textId="77777777" w:rsidR="00EE4625" w:rsidRDefault="00EE4625" w:rsidP="00EE4625">
      <w:pPr>
        <w:jc w:val="both"/>
      </w:pPr>
      <w:r>
        <w:t>2) Tuition and Fees – Tuition and Fee increases are presented to the Board off-cycle of the Legislative Session.</w:t>
      </w:r>
    </w:p>
    <w:p w14:paraId="44353443" w14:textId="77777777" w:rsidR="00EE4625" w:rsidRDefault="00EE4625" w:rsidP="00EE4625">
      <w:pPr>
        <w:jc w:val="both"/>
      </w:pPr>
      <w:r>
        <w:t xml:space="preserve">3) Grant Funds – Grant funds are received by the University and presented to the Board for approval </w:t>
      </w:r>
      <w:proofErr w:type="gramStart"/>
      <w:r>
        <w:t>at  its</w:t>
      </w:r>
      <w:proofErr w:type="gramEnd"/>
      <w:r>
        <w:t xml:space="preserve"> regular board meeting.</w:t>
      </w:r>
    </w:p>
    <w:p w14:paraId="4822BD50" w14:textId="77777777" w:rsidR="00EE4625" w:rsidRDefault="00EE4625" w:rsidP="00EE4625">
      <w:pPr>
        <w:jc w:val="both"/>
      </w:pPr>
      <w:r>
        <w:t>4) Income in excess of budget estimates.</w:t>
      </w:r>
    </w:p>
    <w:p w14:paraId="6BEC0A06" w14:textId="11078171" w:rsidR="00EE4625" w:rsidRDefault="00EE4625" w:rsidP="00EE4625">
      <w:pPr>
        <w:widowControl/>
        <w:adjustRightInd/>
        <w:spacing w:after="160" w:line="259" w:lineRule="auto"/>
        <w:jc w:val="both"/>
      </w:pPr>
      <w:r>
        <w:t xml:space="preserve">5) University Fund Balances – When it is in the best interest of the University and sustainable in the future, </w:t>
      </w:r>
      <w:r w:rsidRPr="00213838">
        <w:t>the Chancellor may approve the expenditure of University Fund Balances (up to 5%) with subsequent reporting to the Board at its next regular board meeting.</w:t>
      </w:r>
    </w:p>
    <w:p w14:paraId="595E3B5F" w14:textId="221B05B6" w:rsidR="00D360A3" w:rsidRPr="00B81DC4" w:rsidRDefault="00EE4625" w:rsidP="00B81DC4">
      <w:pPr>
        <w:widowControl/>
        <w:adjustRightInd/>
        <w:spacing w:after="160" w:line="259" w:lineRule="auto"/>
        <w:jc w:val="both"/>
      </w:pPr>
      <w:r>
        <w:t>Finally, Mr. Tomlinson noted that the University would have an annual operating expenditure budget of $239.8 million.</w:t>
      </w:r>
    </w:p>
    <w:p w14:paraId="0F189816" w14:textId="5AB2AB02" w:rsidR="00D360A3" w:rsidRPr="00812723" w:rsidRDefault="00D360A3" w:rsidP="00D360A3">
      <w:pPr>
        <w:jc w:val="both"/>
        <w:rPr>
          <w:b/>
        </w:rPr>
      </w:pPr>
      <w:r w:rsidRPr="00812723">
        <w:rPr>
          <w:b/>
          <w:u w:val="single"/>
        </w:rPr>
        <w:t>Motion to Move Approval of Item to Consent Agenda:</w:t>
      </w:r>
      <w:r w:rsidRPr="00812723">
        <w:t xml:space="preserve"> Regent </w:t>
      </w:r>
      <w:r w:rsidR="000A00B1">
        <w:rPr>
          <w:b/>
        </w:rPr>
        <w:t>Wilson</w:t>
      </w:r>
      <w:r w:rsidRPr="00812723">
        <w:t xml:space="preserve"> motioned and Regent </w:t>
      </w:r>
      <w:r w:rsidR="000A00B1">
        <w:rPr>
          <w:b/>
        </w:rPr>
        <w:t>Hyde</w:t>
      </w:r>
      <w:r w:rsidRPr="00812723" w:rsidDel="00C44820">
        <w:t xml:space="preserve"> </w:t>
      </w:r>
      <w:r w:rsidRPr="00812723">
        <w:t>seconded. The motion passed with a vote of</w:t>
      </w:r>
      <w:r w:rsidR="000A00B1">
        <w:rPr>
          <w:b/>
        </w:rPr>
        <w:t xml:space="preserve"> 4</w:t>
      </w:r>
      <w:r w:rsidRPr="00812723">
        <w:rPr>
          <w:b/>
        </w:rPr>
        <w:t>-0-0.</w:t>
      </w:r>
    </w:p>
    <w:p w14:paraId="5B21079F" w14:textId="77777777" w:rsidR="00A87DCE" w:rsidRPr="00812723" w:rsidRDefault="00A87DCE" w:rsidP="004D3677">
      <w:pPr>
        <w:widowControl/>
        <w:jc w:val="both"/>
      </w:pPr>
    </w:p>
    <w:p w14:paraId="1D2E3BD3" w14:textId="77777777" w:rsidR="00A87DCE" w:rsidRPr="00812723" w:rsidRDefault="00A87DCE" w:rsidP="002B444F">
      <w:pPr>
        <w:pStyle w:val="ListParagraph"/>
        <w:widowControl/>
        <w:numPr>
          <w:ilvl w:val="0"/>
          <w:numId w:val="10"/>
        </w:numPr>
        <w:jc w:val="both"/>
        <w:rPr>
          <w:b/>
        </w:rPr>
      </w:pPr>
      <w:r w:rsidRPr="00812723">
        <w:t xml:space="preserve"> </w:t>
      </w:r>
      <w:r w:rsidRPr="00812723">
        <w:rPr>
          <w:b/>
        </w:rPr>
        <w:t>Adjourn</w:t>
      </w:r>
    </w:p>
    <w:p w14:paraId="11B9D80F" w14:textId="77777777" w:rsidR="00A87DCE" w:rsidRPr="00812723" w:rsidRDefault="00A87DCE" w:rsidP="004D3677">
      <w:pPr>
        <w:widowControl/>
        <w:jc w:val="both"/>
      </w:pPr>
    </w:p>
    <w:p w14:paraId="608CC562" w14:textId="11D0F117" w:rsidR="00D360A3" w:rsidRDefault="00D360A3" w:rsidP="004D3677">
      <w:pPr>
        <w:widowControl/>
        <w:jc w:val="both"/>
      </w:pPr>
      <w:r>
        <w:t>Regent Wu made an announcement regarding the Regent Dinner, and two tours to be taken by the Regents, one after the conclusion of the Finance and Audit Committee Meeting and the second before the commencement of the Full Board Meeting tomorrow.</w:t>
      </w:r>
    </w:p>
    <w:p w14:paraId="137D3B56" w14:textId="77777777" w:rsidR="00D360A3" w:rsidRDefault="00D360A3" w:rsidP="004D3677">
      <w:pPr>
        <w:widowControl/>
        <w:jc w:val="both"/>
      </w:pPr>
    </w:p>
    <w:p w14:paraId="21A27917" w14:textId="5BE89EB6" w:rsidR="00A87DCE" w:rsidRPr="00812723" w:rsidRDefault="00BE7714" w:rsidP="004D3677">
      <w:pPr>
        <w:widowControl/>
        <w:jc w:val="both"/>
        <w:rPr>
          <w:b/>
        </w:rPr>
      </w:pPr>
      <w:r w:rsidRPr="00812723">
        <w:t xml:space="preserve">With no further business coming before the Finance and Audit Committee, Regent </w:t>
      </w:r>
      <w:r w:rsidR="00204183">
        <w:rPr>
          <w:b/>
        </w:rPr>
        <w:t>Wu</w:t>
      </w:r>
      <w:r w:rsidR="00600040">
        <w:t xml:space="preserve"> adjourned the Finance and Audit C</w:t>
      </w:r>
      <w:r w:rsidRPr="00812723">
        <w:t>ommittee meeting at</w:t>
      </w:r>
      <w:r w:rsidR="000A00B1">
        <w:t xml:space="preserve"> </w:t>
      </w:r>
      <w:r w:rsidR="000A00B1" w:rsidRPr="000A00B1">
        <w:rPr>
          <w:b/>
        </w:rPr>
        <w:t>4</w:t>
      </w:r>
      <w:r w:rsidR="00A87DCE" w:rsidRPr="000A00B1">
        <w:rPr>
          <w:b/>
        </w:rPr>
        <w:t>:</w:t>
      </w:r>
      <w:r w:rsidR="000A00B1">
        <w:rPr>
          <w:b/>
        </w:rPr>
        <w:t>59</w:t>
      </w:r>
      <w:r w:rsidR="00A87DCE" w:rsidRPr="00812723">
        <w:rPr>
          <w:b/>
        </w:rPr>
        <w:t xml:space="preserve"> p</w:t>
      </w:r>
      <w:r w:rsidR="00F95245" w:rsidRPr="00812723">
        <w:rPr>
          <w:b/>
        </w:rPr>
        <w:t>.</w:t>
      </w:r>
      <w:r w:rsidR="00A87DCE" w:rsidRPr="00812723">
        <w:rPr>
          <w:b/>
        </w:rPr>
        <w:t>m</w:t>
      </w:r>
      <w:r w:rsidR="002E1203" w:rsidRPr="00812723">
        <w:rPr>
          <w:b/>
        </w:rPr>
        <w:t>.</w:t>
      </w:r>
    </w:p>
    <w:p w14:paraId="710C1F53" w14:textId="77777777" w:rsidR="00B66BEC" w:rsidRPr="00812723" w:rsidRDefault="00B66BEC" w:rsidP="004D3677">
      <w:pPr>
        <w:jc w:val="both"/>
        <w:rPr>
          <w:b/>
        </w:rPr>
      </w:pPr>
    </w:p>
    <w:sectPr w:rsidR="00B66BEC" w:rsidRPr="00812723" w:rsidSect="004D3677">
      <w:footerReference w:type="default" r:id="rId7"/>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3E2E6" w14:textId="77777777" w:rsidR="00416C79" w:rsidRDefault="00416C79" w:rsidP="00555A65">
      <w:r>
        <w:separator/>
      </w:r>
    </w:p>
  </w:endnote>
  <w:endnote w:type="continuationSeparator" w:id="0">
    <w:p w14:paraId="0F25E401" w14:textId="77777777" w:rsidR="00416C79" w:rsidRDefault="00416C79" w:rsidP="00555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5451179"/>
      <w:docPartObj>
        <w:docPartGallery w:val="Page Numbers (Bottom of Page)"/>
        <w:docPartUnique/>
      </w:docPartObj>
    </w:sdtPr>
    <w:sdtEndPr/>
    <w:sdtContent>
      <w:sdt>
        <w:sdtPr>
          <w:id w:val="1728636285"/>
          <w:docPartObj>
            <w:docPartGallery w:val="Page Numbers (Top of Page)"/>
            <w:docPartUnique/>
          </w:docPartObj>
        </w:sdtPr>
        <w:sdtEndPr/>
        <w:sdtContent>
          <w:p w14:paraId="74DF8F3E" w14:textId="437A2D2E" w:rsidR="00555A65" w:rsidRDefault="00555A65">
            <w:pPr>
              <w:pStyle w:val="Footer"/>
              <w:jc w:val="center"/>
            </w:pPr>
            <w:r>
              <w:t xml:space="preserve">Page </w:t>
            </w:r>
            <w:r>
              <w:rPr>
                <w:b/>
                <w:bCs/>
              </w:rPr>
              <w:fldChar w:fldCharType="begin"/>
            </w:r>
            <w:r>
              <w:rPr>
                <w:b/>
                <w:bCs/>
              </w:rPr>
              <w:instrText xml:space="preserve"> PAGE </w:instrText>
            </w:r>
            <w:r>
              <w:rPr>
                <w:b/>
                <w:bCs/>
              </w:rPr>
              <w:fldChar w:fldCharType="separate"/>
            </w:r>
            <w:r w:rsidR="007D3C74">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7D3C74">
              <w:rPr>
                <w:b/>
                <w:bCs/>
                <w:noProof/>
              </w:rPr>
              <w:t>8</w:t>
            </w:r>
            <w:r>
              <w:rPr>
                <w:b/>
                <w:bCs/>
              </w:rPr>
              <w:fldChar w:fldCharType="end"/>
            </w:r>
          </w:p>
        </w:sdtContent>
      </w:sdt>
    </w:sdtContent>
  </w:sdt>
  <w:p w14:paraId="0F3ECD6F" w14:textId="77777777" w:rsidR="00D70D1A" w:rsidRDefault="00D70D1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1F141" w14:textId="77777777" w:rsidR="00416C79" w:rsidRDefault="00416C79" w:rsidP="00555A65">
      <w:r>
        <w:separator/>
      </w:r>
    </w:p>
  </w:footnote>
  <w:footnote w:type="continuationSeparator" w:id="0">
    <w:p w14:paraId="4061BCF3" w14:textId="77777777" w:rsidR="00416C79" w:rsidRDefault="00416C79" w:rsidP="00555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551C5"/>
    <w:multiLevelType w:val="hybridMultilevel"/>
    <w:tmpl w:val="63CAC320"/>
    <w:lvl w:ilvl="0" w:tplc="EE9ECF9E">
      <w:start w:val="8"/>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0A4E0817"/>
    <w:multiLevelType w:val="hybridMultilevel"/>
    <w:tmpl w:val="C5921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D232C2"/>
    <w:multiLevelType w:val="hybridMultilevel"/>
    <w:tmpl w:val="BB9251E0"/>
    <w:lvl w:ilvl="0" w:tplc="0F00EB5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FA71344"/>
    <w:multiLevelType w:val="hybridMultilevel"/>
    <w:tmpl w:val="B6E27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460425"/>
    <w:multiLevelType w:val="hybridMultilevel"/>
    <w:tmpl w:val="F8C8DA0C"/>
    <w:lvl w:ilvl="0" w:tplc="565C83D4">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C1B008E2">
      <w:start w:val="1"/>
      <w:numFmt w:val="upperLetter"/>
      <w:lvlText w:val="%3."/>
      <w:lvlJc w:val="left"/>
      <w:pPr>
        <w:ind w:left="2760" w:hanging="7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C16953"/>
    <w:multiLevelType w:val="hybridMultilevel"/>
    <w:tmpl w:val="C1AC6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AB59E0"/>
    <w:multiLevelType w:val="hybridMultilevel"/>
    <w:tmpl w:val="CCE85468"/>
    <w:lvl w:ilvl="0" w:tplc="748A372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6B339D"/>
    <w:multiLevelType w:val="hybridMultilevel"/>
    <w:tmpl w:val="3D74DD8E"/>
    <w:lvl w:ilvl="0" w:tplc="D8060F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217716"/>
    <w:multiLevelType w:val="hybridMultilevel"/>
    <w:tmpl w:val="D2DA9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1F1E41"/>
    <w:multiLevelType w:val="hybridMultilevel"/>
    <w:tmpl w:val="3984EE5E"/>
    <w:lvl w:ilvl="0" w:tplc="42E0DAB0">
      <w:start w:val="1"/>
      <w:numFmt w:val="upperRoman"/>
      <w:lvlText w:val="%1."/>
      <w:lvlJc w:val="left"/>
      <w:pPr>
        <w:ind w:left="960" w:hanging="90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3F9867E7"/>
    <w:multiLevelType w:val="hybridMultilevel"/>
    <w:tmpl w:val="2FA67D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582F7E"/>
    <w:multiLevelType w:val="hybridMultilevel"/>
    <w:tmpl w:val="3D74DD8E"/>
    <w:lvl w:ilvl="0" w:tplc="D8060F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F559E8"/>
    <w:multiLevelType w:val="hybridMultilevel"/>
    <w:tmpl w:val="B4B29512"/>
    <w:lvl w:ilvl="0" w:tplc="A7C4ABD0">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8"/>
  </w:num>
  <w:num w:numId="3">
    <w:abstractNumId w:val="4"/>
  </w:num>
  <w:num w:numId="4">
    <w:abstractNumId w:val="6"/>
  </w:num>
  <w:num w:numId="5">
    <w:abstractNumId w:val="9"/>
  </w:num>
  <w:num w:numId="6">
    <w:abstractNumId w:val="12"/>
  </w:num>
  <w:num w:numId="7">
    <w:abstractNumId w:val="0"/>
  </w:num>
  <w:num w:numId="8">
    <w:abstractNumId w:val="2"/>
  </w:num>
  <w:num w:numId="9">
    <w:abstractNumId w:val="7"/>
  </w:num>
  <w:num w:numId="10">
    <w:abstractNumId w:val="11"/>
  </w:num>
  <w:num w:numId="11">
    <w:abstractNumId w:val="3"/>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AB4"/>
    <w:rsid w:val="00006389"/>
    <w:rsid w:val="00006E7B"/>
    <w:rsid w:val="00025CFD"/>
    <w:rsid w:val="00061472"/>
    <w:rsid w:val="0006787E"/>
    <w:rsid w:val="00074F33"/>
    <w:rsid w:val="000979A1"/>
    <w:rsid w:val="000A00B1"/>
    <w:rsid w:val="000A447F"/>
    <w:rsid w:val="000C4F09"/>
    <w:rsid w:val="000D699A"/>
    <w:rsid w:val="000D6B43"/>
    <w:rsid w:val="000E5CDC"/>
    <w:rsid w:val="00101E49"/>
    <w:rsid w:val="00111D8D"/>
    <w:rsid w:val="0012184C"/>
    <w:rsid w:val="00142414"/>
    <w:rsid w:val="00142417"/>
    <w:rsid w:val="0014773D"/>
    <w:rsid w:val="00162424"/>
    <w:rsid w:val="00162EBC"/>
    <w:rsid w:val="001648BD"/>
    <w:rsid w:val="00175FEA"/>
    <w:rsid w:val="001A50BB"/>
    <w:rsid w:val="001A69B0"/>
    <w:rsid w:val="001D7CB5"/>
    <w:rsid w:val="001D7D0A"/>
    <w:rsid w:val="001E2D03"/>
    <w:rsid w:val="00204183"/>
    <w:rsid w:val="00206CE8"/>
    <w:rsid w:val="00207031"/>
    <w:rsid w:val="00227F30"/>
    <w:rsid w:val="00252902"/>
    <w:rsid w:val="00253E3D"/>
    <w:rsid w:val="00261943"/>
    <w:rsid w:val="002671D1"/>
    <w:rsid w:val="00273555"/>
    <w:rsid w:val="002A60C5"/>
    <w:rsid w:val="002B444F"/>
    <w:rsid w:val="002D0973"/>
    <w:rsid w:val="002E1203"/>
    <w:rsid w:val="002F2C49"/>
    <w:rsid w:val="00303AC2"/>
    <w:rsid w:val="00332686"/>
    <w:rsid w:val="0037702A"/>
    <w:rsid w:val="00377633"/>
    <w:rsid w:val="00383748"/>
    <w:rsid w:val="0039636A"/>
    <w:rsid w:val="003B2803"/>
    <w:rsid w:val="003C2BF3"/>
    <w:rsid w:val="003D1FC2"/>
    <w:rsid w:val="003D4D3F"/>
    <w:rsid w:val="003E198F"/>
    <w:rsid w:val="003E4D52"/>
    <w:rsid w:val="00416C79"/>
    <w:rsid w:val="004312E9"/>
    <w:rsid w:val="00436CA4"/>
    <w:rsid w:val="00440D65"/>
    <w:rsid w:val="00450BFE"/>
    <w:rsid w:val="00460731"/>
    <w:rsid w:val="004623E2"/>
    <w:rsid w:val="00462623"/>
    <w:rsid w:val="00497B2F"/>
    <w:rsid w:val="004B615C"/>
    <w:rsid w:val="004C2510"/>
    <w:rsid w:val="004C489E"/>
    <w:rsid w:val="004D3677"/>
    <w:rsid w:val="004D6942"/>
    <w:rsid w:val="004E447B"/>
    <w:rsid w:val="004F0B1D"/>
    <w:rsid w:val="005002B2"/>
    <w:rsid w:val="00530D60"/>
    <w:rsid w:val="00542DFE"/>
    <w:rsid w:val="0054468E"/>
    <w:rsid w:val="00555A65"/>
    <w:rsid w:val="0059042F"/>
    <w:rsid w:val="005922AC"/>
    <w:rsid w:val="005B0CA5"/>
    <w:rsid w:val="005B4A57"/>
    <w:rsid w:val="00600040"/>
    <w:rsid w:val="0060052F"/>
    <w:rsid w:val="00604AEA"/>
    <w:rsid w:val="00634CB7"/>
    <w:rsid w:val="00640046"/>
    <w:rsid w:val="00677A9B"/>
    <w:rsid w:val="006A51A6"/>
    <w:rsid w:val="006B1107"/>
    <w:rsid w:val="006B74F4"/>
    <w:rsid w:val="006E51D7"/>
    <w:rsid w:val="00702BC8"/>
    <w:rsid w:val="007147C9"/>
    <w:rsid w:val="00724F41"/>
    <w:rsid w:val="007402D1"/>
    <w:rsid w:val="00764A32"/>
    <w:rsid w:val="007731F5"/>
    <w:rsid w:val="007A38EA"/>
    <w:rsid w:val="007B4B22"/>
    <w:rsid w:val="007C38B9"/>
    <w:rsid w:val="007D2707"/>
    <w:rsid w:val="007D3C74"/>
    <w:rsid w:val="00812723"/>
    <w:rsid w:val="00812E84"/>
    <w:rsid w:val="0081493D"/>
    <w:rsid w:val="00863D94"/>
    <w:rsid w:val="0087364D"/>
    <w:rsid w:val="00876C95"/>
    <w:rsid w:val="00916324"/>
    <w:rsid w:val="00941F7E"/>
    <w:rsid w:val="00943278"/>
    <w:rsid w:val="00944191"/>
    <w:rsid w:val="00951D8F"/>
    <w:rsid w:val="00966CCF"/>
    <w:rsid w:val="00976C01"/>
    <w:rsid w:val="009819D1"/>
    <w:rsid w:val="009B3175"/>
    <w:rsid w:val="009C0968"/>
    <w:rsid w:val="009D3ACC"/>
    <w:rsid w:val="009D4086"/>
    <w:rsid w:val="009E1AB4"/>
    <w:rsid w:val="009F6997"/>
    <w:rsid w:val="00A212F7"/>
    <w:rsid w:val="00A22FCD"/>
    <w:rsid w:val="00A42A08"/>
    <w:rsid w:val="00A47211"/>
    <w:rsid w:val="00A47AE9"/>
    <w:rsid w:val="00A67C22"/>
    <w:rsid w:val="00A87DCE"/>
    <w:rsid w:val="00AA078A"/>
    <w:rsid w:val="00AD4268"/>
    <w:rsid w:val="00AE48E8"/>
    <w:rsid w:val="00B15691"/>
    <w:rsid w:val="00B17B26"/>
    <w:rsid w:val="00B20F29"/>
    <w:rsid w:val="00B2621C"/>
    <w:rsid w:val="00B264F5"/>
    <w:rsid w:val="00B61A78"/>
    <w:rsid w:val="00B66BEC"/>
    <w:rsid w:val="00B77D7D"/>
    <w:rsid w:val="00B81DC4"/>
    <w:rsid w:val="00B86336"/>
    <w:rsid w:val="00BD1DDE"/>
    <w:rsid w:val="00BD2EA5"/>
    <w:rsid w:val="00BE7714"/>
    <w:rsid w:val="00C120EA"/>
    <w:rsid w:val="00C168B9"/>
    <w:rsid w:val="00C33EC4"/>
    <w:rsid w:val="00C44820"/>
    <w:rsid w:val="00C4779F"/>
    <w:rsid w:val="00C8174F"/>
    <w:rsid w:val="00CE753F"/>
    <w:rsid w:val="00D03B05"/>
    <w:rsid w:val="00D056C7"/>
    <w:rsid w:val="00D2336C"/>
    <w:rsid w:val="00D235CE"/>
    <w:rsid w:val="00D360A3"/>
    <w:rsid w:val="00D477F4"/>
    <w:rsid w:val="00D645C3"/>
    <w:rsid w:val="00D65EF7"/>
    <w:rsid w:val="00D70D1A"/>
    <w:rsid w:val="00D77EE1"/>
    <w:rsid w:val="00D847E6"/>
    <w:rsid w:val="00D9109E"/>
    <w:rsid w:val="00D9242E"/>
    <w:rsid w:val="00DA03E2"/>
    <w:rsid w:val="00DE4CD8"/>
    <w:rsid w:val="00E13561"/>
    <w:rsid w:val="00E51238"/>
    <w:rsid w:val="00E65701"/>
    <w:rsid w:val="00E87C3B"/>
    <w:rsid w:val="00E933E5"/>
    <w:rsid w:val="00EA32B3"/>
    <w:rsid w:val="00ED33E4"/>
    <w:rsid w:val="00EE271A"/>
    <w:rsid w:val="00EE4625"/>
    <w:rsid w:val="00EE7A7F"/>
    <w:rsid w:val="00EF75B6"/>
    <w:rsid w:val="00F3519D"/>
    <w:rsid w:val="00F4473A"/>
    <w:rsid w:val="00F71F9A"/>
    <w:rsid w:val="00F822D3"/>
    <w:rsid w:val="00F94301"/>
    <w:rsid w:val="00F95245"/>
    <w:rsid w:val="00FA260E"/>
    <w:rsid w:val="00FA5CD0"/>
    <w:rsid w:val="00FC70F0"/>
    <w:rsid w:val="00FD10E1"/>
    <w:rsid w:val="00FD66CD"/>
    <w:rsid w:val="00FE7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19F0E8"/>
  <w15:docId w15:val="{53BE4D7D-B7B9-47A5-ADF9-828AFCD1E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2EA5"/>
    <w:pPr>
      <w:widowControl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AB4"/>
    <w:pPr>
      <w:ind w:left="720"/>
      <w:contextualSpacing/>
    </w:pPr>
  </w:style>
  <w:style w:type="paragraph" w:styleId="BalloonText">
    <w:name w:val="Balloon Text"/>
    <w:basedOn w:val="Normal"/>
    <w:link w:val="BalloonTextChar"/>
    <w:uiPriority w:val="99"/>
    <w:semiHidden/>
    <w:unhideWhenUsed/>
    <w:rsid w:val="00F35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519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D3677"/>
    <w:rPr>
      <w:sz w:val="16"/>
      <w:szCs w:val="16"/>
    </w:rPr>
  </w:style>
  <w:style w:type="paragraph" w:styleId="CommentText">
    <w:name w:val="annotation text"/>
    <w:basedOn w:val="Normal"/>
    <w:link w:val="CommentTextChar"/>
    <w:uiPriority w:val="99"/>
    <w:semiHidden/>
    <w:unhideWhenUsed/>
    <w:rsid w:val="004D3677"/>
    <w:rPr>
      <w:sz w:val="20"/>
      <w:szCs w:val="20"/>
    </w:rPr>
  </w:style>
  <w:style w:type="character" w:customStyle="1" w:styleId="CommentTextChar">
    <w:name w:val="Comment Text Char"/>
    <w:basedOn w:val="DefaultParagraphFont"/>
    <w:link w:val="CommentText"/>
    <w:uiPriority w:val="99"/>
    <w:semiHidden/>
    <w:rsid w:val="004D36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D3677"/>
    <w:rPr>
      <w:b/>
      <w:bCs/>
    </w:rPr>
  </w:style>
  <w:style w:type="character" w:customStyle="1" w:styleId="CommentSubjectChar">
    <w:name w:val="Comment Subject Char"/>
    <w:basedOn w:val="CommentTextChar"/>
    <w:link w:val="CommentSubject"/>
    <w:uiPriority w:val="99"/>
    <w:semiHidden/>
    <w:rsid w:val="004D367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55A65"/>
    <w:pPr>
      <w:tabs>
        <w:tab w:val="center" w:pos="4680"/>
        <w:tab w:val="right" w:pos="9360"/>
      </w:tabs>
    </w:pPr>
  </w:style>
  <w:style w:type="character" w:customStyle="1" w:styleId="HeaderChar">
    <w:name w:val="Header Char"/>
    <w:basedOn w:val="DefaultParagraphFont"/>
    <w:link w:val="Header"/>
    <w:uiPriority w:val="99"/>
    <w:rsid w:val="00555A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55A65"/>
    <w:pPr>
      <w:tabs>
        <w:tab w:val="center" w:pos="4680"/>
        <w:tab w:val="right" w:pos="9360"/>
      </w:tabs>
    </w:pPr>
  </w:style>
  <w:style w:type="character" w:customStyle="1" w:styleId="FooterChar">
    <w:name w:val="Footer Char"/>
    <w:basedOn w:val="DefaultParagraphFont"/>
    <w:link w:val="Footer"/>
    <w:uiPriority w:val="99"/>
    <w:rsid w:val="00555A65"/>
    <w:rPr>
      <w:rFonts w:ascii="Times New Roman" w:eastAsia="Times New Roman" w:hAnsi="Times New Roman" w:cs="Times New Roman"/>
      <w:sz w:val="24"/>
      <w:szCs w:val="24"/>
    </w:rPr>
  </w:style>
  <w:style w:type="paragraph" w:customStyle="1" w:styleId="catbody">
    <w:name w:val="catbody"/>
    <w:basedOn w:val="Normal"/>
    <w:rsid w:val="00EA32B3"/>
    <w:pPr>
      <w:widowControl/>
      <w:adjustRightInd/>
      <w:spacing w:before="100" w:beforeAutospacing="1" w:after="100" w:afterAutospacing="1"/>
    </w:pPr>
    <w:rPr>
      <w:rFonts w:eastAsiaTheme="minorHAnsi"/>
    </w:rPr>
  </w:style>
  <w:style w:type="paragraph" w:customStyle="1" w:styleId="TableParagraph">
    <w:name w:val="Table Paragraph"/>
    <w:basedOn w:val="Normal"/>
    <w:uiPriority w:val="1"/>
    <w:qFormat/>
    <w:rsid w:val="00D03B05"/>
    <w:pPr>
      <w:autoSpaceDE w:val="0"/>
      <w:autoSpaceDN w:val="0"/>
      <w:adjustRightInd/>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8</Pages>
  <Words>3007</Words>
  <Characters>17142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Texas Woman's University</Company>
  <LinksUpToDate>false</LinksUpToDate>
  <CharactersWithSpaces>20109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Waiters, Destinee</dc:creator>
  <cp:lastModifiedBy>Microsoft Office User</cp:lastModifiedBy>
  <cp:revision>61</cp:revision>
  <cp:lastPrinted>2018-08-01T16:40:00Z</cp:lastPrinted>
  <dcterms:created xsi:type="dcterms:W3CDTF">2018-11-06T17:30:00Z</dcterms:created>
  <dcterms:modified xsi:type="dcterms:W3CDTF">2019-12-04T14:56:00Z</dcterms:modified>
</cp:coreProperties>
</file>