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87" w:rsidRPr="00E77187" w:rsidRDefault="00E77187" w:rsidP="00E77187">
      <w:pPr>
        <w:pStyle w:val="NormalWeb"/>
        <w:spacing w:before="0" w:beforeAutospacing="0" w:after="0" w:afterAutospacing="0"/>
        <w:ind w:left="7"/>
        <w:jc w:val="center"/>
        <w:rPr>
          <w:rFonts w:ascii="Arial" w:hAnsi="Arial" w:cs="Arial"/>
          <w:sz w:val="28"/>
          <w:szCs w:val="22"/>
        </w:rPr>
      </w:pPr>
      <w:r w:rsidRPr="00E77187">
        <w:rPr>
          <w:rFonts w:ascii="Arial" w:hAnsi="Arial" w:cs="Arial"/>
          <w:b/>
          <w:bCs/>
          <w:color w:val="800000"/>
          <w:sz w:val="28"/>
          <w:szCs w:val="22"/>
        </w:rPr>
        <w:t>Transfer Credit &amp; Time Limits</w:t>
      </w:r>
    </w:p>
    <w:p w:rsidR="00E77187" w:rsidRPr="00E77187" w:rsidRDefault="00E77187" w:rsidP="00E77187">
      <w:pPr>
        <w:pStyle w:val="NormalWeb"/>
        <w:spacing w:before="390" w:beforeAutospacing="0" w:after="0" w:afterAutospacing="0"/>
        <w:ind w:left="46"/>
        <w:jc w:val="center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i/>
          <w:iCs/>
          <w:color w:val="000000"/>
          <w:sz w:val="22"/>
          <w:szCs w:val="22"/>
        </w:rPr>
        <w:t xml:space="preserve">(Approved by Graduate Council, </w:t>
      </w:r>
      <w:r w:rsidRPr="00E77187">
        <w:rPr>
          <w:rFonts w:ascii="Arial" w:hAnsi="Arial" w:cs="Arial"/>
          <w:i/>
          <w:iCs/>
          <w:color w:val="000000"/>
          <w:sz w:val="22"/>
          <w:szCs w:val="22"/>
        </w:rPr>
        <w:t>February 24, 2021</w:t>
      </w:r>
      <w:r w:rsidRPr="00E77187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:rsidR="00E77187" w:rsidRPr="00E77187" w:rsidRDefault="00E77187" w:rsidP="00E77187">
      <w:pPr>
        <w:pStyle w:val="NormalWeb"/>
        <w:spacing w:before="312" w:beforeAutospacing="0" w:after="0" w:afterAutospacing="0"/>
        <w:ind w:left="44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b/>
          <w:bCs/>
          <w:color w:val="000000"/>
          <w:sz w:val="22"/>
          <w:szCs w:val="22"/>
        </w:rPr>
        <w:t>Credit by Transfer  </w:t>
      </w:r>
    </w:p>
    <w:p w:rsidR="00E77187" w:rsidRPr="00E77187" w:rsidRDefault="00E77187" w:rsidP="00E77187">
      <w:pPr>
        <w:pStyle w:val="NormalWeb"/>
        <w:spacing w:before="305" w:beforeAutospacing="0" w:after="0" w:afterAutospacing="0"/>
        <w:ind w:left="85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>Master's Degree  </w:t>
      </w:r>
    </w:p>
    <w:p w:rsidR="00E77187" w:rsidRPr="00E77187" w:rsidRDefault="00E77187" w:rsidP="00E77187">
      <w:pPr>
        <w:pStyle w:val="NormalWeb"/>
        <w:spacing w:before="320" w:beforeAutospacing="0" w:after="0" w:afterAutospacing="0"/>
        <w:ind w:left="2" w:right="43" w:hanging="42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>There is no automatic transfer of graduate credit. However, a student's</w:t>
      </w:r>
      <w:r w:rsidRPr="00E77187">
        <w:rPr>
          <w:rFonts w:ascii="Arial" w:hAnsi="Arial" w:cs="Arial"/>
          <w:color w:val="000000"/>
          <w:sz w:val="22"/>
          <w:szCs w:val="22"/>
        </w:rPr>
        <w:t> Advisory C</w:t>
      </w:r>
      <w:r w:rsidRPr="00E77187">
        <w:rPr>
          <w:rFonts w:ascii="Arial" w:hAnsi="Arial" w:cs="Arial"/>
          <w:color w:val="000000"/>
          <w:sz w:val="22"/>
          <w:szCs w:val="22"/>
        </w:rPr>
        <w:t>ommittee may recommend, and the Dean of the Graduate</w:t>
      </w:r>
      <w:r w:rsidRPr="00E77187">
        <w:rPr>
          <w:rFonts w:ascii="Arial" w:hAnsi="Arial" w:cs="Arial"/>
          <w:color w:val="000000"/>
          <w:sz w:val="22"/>
          <w:szCs w:val="22"/>
        </w:rPr>
        <w:t> School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may approve, specific courses for transfer credit. Programs will</w:t>
      </w:r>
      <w:r w:rsidRPr="00E77187">
        <w:rPr>
          <w:rFonts w:ascii="Arial" w:hAnsi="Arial" w:cs="Arial"/>
          <w:color w:val="000000"/>
          <w:sz w:val="22"/>
          <w:szCs w:val="22"/>
        </w:rPr>
        <w:t> use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the following scale in determining the maximum possible number</w:t>
      </w:r>
      <w:r w:rsidRPr="00E77187">
        <w:rPr>
          <w:rFonts w:ascii="Arial" w:hAnsi="Arial" w:cs="Arial"/>
          <w:color w:val="000000"/>
          <w:sz w:val="22"/>
          <w:szCs w:val="22"/>
        </w:rPr>
        <w:t> of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credits that may be transferred.  </w:t>
      </w:r>
    </w:p>
    <w:p w:rsidR="00E77187" w:rsidRPr="00E77187" w:rsidRDefault="00E77187" w:rsidP="00E77187">
      <w:pPr>
        <w:pStyle w:val="NormalWeb"/>
        <w:numPr>
          <w:ilvl w:val="0"/>
          <w:numId w:val="1"/>
        </w:numPr>
        <w:spacing w:before="320" w:beforeAutospacing="0" w:after="0" w:afterAutospacing="0"/>
        <w:ind w:right="43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 xml:space="preserve">up to 6 semester hours in a 30-38-credit hour program </w:t>
      </w:r>
    </w:p>
    <w:p w:rsidR="00E77187" w:rsidRPr="00E77187" w:rsidRDefault="00E77187" w:rsidP="00E77187">
      <w:pPr>
        <w:pStyle w:val="NormalWeb"/>
        <w:numPr>
          <w:ilvl w:val="0"/>
          <w:numId w:val="1"/>
        </w:numPr>
        <w:spacing w:before="320" w:beforeAutospacing="0" w:after="0" w:afterAutospacing="0"/>
        <w:ind w:right="43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 xml:space="preserve">up  to 9 semester hours in a 39-44-credit hour program </w:t>
      </w:r>
    </w:p>
    <w:p w:rsidR="00E77187" w:rsidRPr="00E77187" w:rsidRDefault="00E77187" w:rsidP="00E77187">
      <w:pPr>
        <w:pStyle w:val="NormalWeb"/>
        <w:numPr>
          <w:ilvl w:val="0"/>
          <w:numId w:val="1"/>
        </w:numPr>
        <w:spacing w:before="320" w:beforeAutospacing="0" w:after="0" w:afterAutospacing="0"/>
        <w:ind w:right="43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>up to 12  semester hours in a 45 or more credit hour program  </w:t>
      </w:r>
    </w:p>
    <w:p w:rsidR="00E77187" w:rsidRPr="00E77187" w:rsidRDefault="00E77187" w:rsidP="00E77187">
      <w:pPr>
        <w:pStyle w:val="NormalWeb"/>
        <w:spacing w:before="196" w:beforeAutospacing="0" w:after="0" w:afterAutospacing="0"/>
        <w:ind w:left="44" w:right="51" w:firstLine="1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>Only graduate courses in which the grade of B or better is earned from</w:t>
      </w:r>
      <w:r w:rsidRPr="00E77187">
        <w:rPr>
          <w:rFonts w:ascii="Arial" w:hAnsi="Arial" w:cs="Arial"/>
          <w:color w:val="000000"/>
          <w:sz w:val="22"/>
          <w:szCs w:val="22"/>
        </w:rPr>
        <w:t> an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accredited school may be considered for transfer credit. The rule</w:t>
      </w:r>
      <w:r w:rsidRPr="00E77187">
        <w:rPr>
          <w:rFonts w:ascii="Arial" w:hAnsi="Arial" w:cs="Arial"/>
          <w:color w:val="000000"/>
          <w:sz w:val="22"/>
          <w:szCs w:val="22"/>
        </w:rPr>
        <w:t> governing</w:t>
      </w:r>
      <w:r>
        <w:rPr>
          <w:rFonts w:ascii="Arial" w:hAnsi="Arial" w:cs="Arial"/>
          <w:color w:val="000000"/>
          <w:sz w:val="22"/>
          <w:szCs w:val="22"/>
        </w:rPr>
        <w:t xml:space="preserve"> the time limit for m</w:t>
      </w:r>
      <w:r w:rsidRPr="00E77187">
        <w:rPr>
          <w:rFonts w:ascii="Arial" w:hAnsi="Arial" w:cs="Arial"/>
          <w:color w:val="000000"/>
          <w:sz w:val="22"/>
          <w:szCs w:val="22"/>
        </w:rPr>
        <w:t>aster's deg</w:t>
      </w:r>
      <w:r w:rsidRPr="00E77187">
        <w:rPr>
          <w:rFonts w:ascii="Arial" w:hAnsi="Arial" w:cs="Arial"/>
          <w:color w:val="000000"/>
          <w:sz w:val="22"/>
          <w:szCs w:val="22"/>
        </w:rPr>
        <w:t>ree credit applies to transfer </w:t>
      </w:r>
      <w:r w:rsidRPr="00E77187">
        <w:rPr>
          <w:rFonts w:ascii="Arial" w:hAnsi="Arial" w:cs="Arial"/>
          <w:color w:val="000000"/>
          <w:sz w:val="22"/>
          <w:szCs w:val="22"/>
        </w:rPr>
        <w:t>credit. Transferable credit is not accepted until the student has</w:t>
      </w:r>
      <w:r w:rsidRPr="00E77187">
        <w:rPr>
          <w:rFonts w:ascii="Arial" w:hAnsi="Arial" w:cs="Arial"/>
          <w:color w:val="000000"/>
          <w:sz w:val="22"/>
          <w:szCs w:val="22"/>
        </w:rPr>
        <w:t> satisfactorily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completed graduate work at Texas Woman's University.  </w:t>
      </w:r>
    </w:p>
    <w:p w:rsidR="00E77187" w:rsidRPr="00E77187" w:rsidRDefault="00E77187" w:rsidP="00E77187">
      <w:pPr>
        <w:pStyle w:val="NormalWeb"/>
        <w:spacing w:before="323" w:beforeAutospacing="0" w:after="0" w:afterAutospacing="0"/>
        <w:ind w:left="85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>Doctoral Degree  </w:t>
      </w:r>
    </w:p>
    <w:p w:rsidR="00E77187" w:rsidRPr="00E77187" w:rsidRDefault="00E77187" w:rsidP="00E77187">
      <w:pPr>
        <w:pStyle w:val="NormalWeb"/>
        <w:spacing w:before="320" w:beforeAutospacing="0" w:after="0" w:afterAutospacing="0"/>
        <w:ind w:left="-1" w:right="50" w:hanging="3"/>
        <w:rPr>
          <w:rFonts w:ascii="Arial" w:hAnsi="Arial" w:cs="Arial"/>
          <w:sz w:val="22"/>
          <w:szCs w:val="22"/>
        </w:rPr>
      </w:pPr>
      <w:r w:rsidRPr="00E77187">
        <w:rPr>
          <w:rFonts w:ascii="Arial" w:hAnsi="Arial" w:cs="Arial"/>
          <w:color w:val="000000"/>
          <w:sz w:val="22"/>
          <w:szCs w:val="22"/>
        </w:rPr>
        <w:t>There is no automatic transfer of graduate credit, but the student's</w:t>
      </w:r>
      <w:r w:rsidRPr="00E77187">
        <w:rPr>
          <w:rFonts w:ascii="Arial" w:hAnsi="Arial" w:cs="Arial"/>
          <w:color w:val="000000"/>
          <w:sz w:val="22"/>
          <w:szCs w:val="22"/>
        </w:rPr>
        <w:t> Advisory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Committee has the prerogative to recommend to the Dean of</w:t>
      </w:r>
      <w:r w:rsidRPr="00E77187">
        <w:rPr>
          <w:rFonts w:ascii="Arial" w:hAnsi="Arial" w:cs="Arial"/>
          <w:color w:val="000000"/>
          <w:sz w:val="22"/>
          <w:szCs w:val="22"/>
        </w:rPr>
        <w:t> the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Graduate School the acceptance of transferable credits. Only</w:t>
      </w:r>
      <w:r w:rsidRPr="00E77187">
        <w:rPr>
          <w:rFonts w:ascii="Arial" w:hAnsi="Arial" w:cs="Arial"/>
          <w:color w:val="000000"/>
          <w:sz w:val="22"/>
          <w:szCs w:val="22"/>
        </w:rPr>
        <w:t> graduate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courses in which the grade of B or better is awarded by an</w:t>
      </w:r>
      <w:r w:rsidRPr="00E77187">
        <w:rPr>
          <w:rFonts w:ascii="Arial" w:hAnsi="Arial" w:cs="Arial"/>
          <w:color w:val="000000"/>
          <w:sz w:val="22"/>
          <w:szCs w:val="22"/>
        </w:rPr>
        <w:t> accredited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institution may be considered for transfer credit. A student</w:t>
      </w:r>
      <w:r w:rsidRPr="00E77187">
        <w:rPr>
          <w:rFonts w:ascii="Arial" w:hAnsi="Arial" w:cs="Arial"/>
          <w:color w:val="000000"/>
          <w:sz w:val="22"/>
          <w:szCs w:val="22"/>
        </w:rPr>
        <w:t> may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apply for consideration of transferable credits only after</w:t>
      </w:r>
      <w:r w:rsidRPr="00E77187">
        <w:rPr>
          <w:rFonts w:ascii="Arial" w:hAnsi="Arial" w:cs="Arial"/>
          <w:color w:val="000000"/>
          <w:sz w:val="22"/>
          <w:szCs w:val="22"/>
        </w:rPr>
        <w:t> satisfactorily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completing a minimum of nine hours of graduate credit at</w:t>
      </w:r>
      <w:r w:rsidRPr="00E77187">
        <w:rPr>
          <w:rFonts w:ascii="Arial" w:hAnsi="Arial" w:cs="Arial"/>
          <w:color w:val="000000"/>
          <w:sz w:val="22"/>
          <w:szCs w:val="22"/>
        </w:rPr>
        <w:t> the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Texas Woman's University. The rule governing the time limit for</w:t>
      </w:r>
      <w:r w:rsidRPr="00E77187">
        <w:rPr>
          <w:rFonts w:ascii="Arial" w:hAnsi="Arial" w:cs="Arial"/>
          <w:color w:val="000000"/>
          <w:sz w:val="22"/>
          <w:szCs w:val="22"/>
        </w:rPr>
        <w:t> doctoral</w:t>
      </w:r>
      <w:r w:rsidRPr="00E77187">
        <w:rPr>
          <w:rFonts w:ascii="Arial" w:hAnsi="Arial" w:cs="Arial"/>
          <w:color w:val="000000"/>
          <w:sz w:val="22"/>
          <w:szCs w:val="22"/>
        </w:rPr>
        <w:t xml:space="preserve"> credit also applies to transferable credits. At least fifty percent of the course credit toward a doctoral degree must be completed at</w:t>
      </w:r>
      <w:bookmarkStart w:id="0" w:name="_GoBack"/>
      <w:bookmarkEnd w:id="0"/>
      <w:r w:rsidRPr="00E77187">
        <w:rPr>
          <w:rFonts w:ascii="Arial" w:hAnsi="Arial" w:cs="Arial"/>
          <w:color w:val="000000"/>
          <w:sz w:val="22"/>
          <w:szCs w:val="22"/>
        </w:rPr>
        <w:t xml:space="preserve"> Texas Woman's University.  </w:t>
      </w:r>
    </w:p>
    <w:p w:rsidR="004D079F" w:rsidRPr="00E77187" w:rsidRDefault="004D079F">
      <w:pPr>
        <w:rPr>
          <w:rFonts w:ascii="Arial" w:hAnsi="Arial" w:cs="Arial"/>
        </w:rPr>
      </w:pPr>
    </w:p>
    <w:sectPr w:rsidR="004D079F" w:rsidRPr="00E77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1702A"/>
    <w:multiLevelType w:val="hybridMultilevel"/>
    <w:tmpl w:val="89F2AB9A"/>
    <w:lvl w:ilvl="0" w:tplc="BA90DC88">
      <w:start w:val="1"/>
      <w:numFmt w:val="lowerLetter"/>
      <w:lvlText w:val="%1."/>
      <w:lvlJc w:val="left"/>
      <w:pPr>
        <w:ind w:left="6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87"/>
    <w:rsid w:val="004D079F"/>
    <w:rsid w:val="007B2125"/>
    <w:rsid w:val="009333AE"/>
    <w:rsid w:val="00E7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7FD19-4C55-4D94-A6C4-1599C982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TWU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2021-09-14T13:27:00Z</dcterms:created>
  <dcterms:modified xsi:type="dcterms:W3CDTF">2021-09-14T13:32:00Z</dcterms:modified>
</cp:coreProperties>
</file>