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31A" w:rsidRPr="00120D2E" w:rsidRDefault="00CB223D" w:rsidP="004938BD">
      <w:pPr>
        <w:spacing w:after="0" w:line="240" w:lineRule="auto"/>
        <w:jc w:val="center"/>
        <w:rPr>
          <w:rFonts w:ascii="Verdana" w:hAnsi="Verdana" w:cs="Times New Roman"/>
          <w:b/>
          <w:color w:val="C0504D"/>
          <w:sz w:val="24"/>
          <w:szCs w:val="24"/>
        </w:rPr>
      </w:pPr>
      <w:bookmarkStart w:id="0" w:name="_GoBack"/>
      <w:bookmarkEnd w:id="0"/>
      <w:r w:rsidRPr="00120D2E">
        <w:rPr>
          <w:rFonts w:ascii="Verdana" w:hAnsi="Verdana" w:cs="Times New Roman"/>
          <w:b/>
          <w:color w:val="C0504D"/>
          <w:sz w:val="24"/>
          <w:szCs w:val="24"/>
        </w:rPr>
        <w:t>Responsible Conduct of Research</w:t>
      </w:r>
      <w:r w:rsidR="004938BD" w:rsidRPr="00120D2E">
        <w:rPr>
          <w:rFonts w:ascii="Verdana" w:hAnsi="Verdana" w:cs="Times New Roman"/>
          <w:b/>
          <w:color w:val="C0504D"/>
          <w:sz w:val="24"/>
          <w:szCs w:val="24"/>
        </w:rPr>
        <w:t xml:space="preserve"> Training</w:t>
      </w:r>
      <w:r w:rsidRPr="00120D2E">
        <w:rPr>
          <w:rFonts w:ascii="Verdana" w:hAnsi="Verdana" w:cs="Times New Roman"/>
          <w:b/>
          <w:color w:val="C0504D"/>
          <w:sz w:val="24"/>
          <w:szCs w:val="24"/>
        </w:rPr>
        <w:t xml:space="preserve"> Q &amp; A:</w:t>
      </w:r>
    </w:p>
    <w:p w:rsidR="00CB223D" w:rsidRPr="004938BD" w:rsidRDefault="00CB223D" w:rsidP="00CB223D">
      <w:pPr>
        <w:spacing w:after="0" w:line="240" w:lineRule="auto"/>
        <w:rPr>
          <w:rFonts w:ascii="Verdana" w:hAnsi="Verdana" w:cs="Times New Roman"/>
          <w:b/>
        </w:rPr>
      </w:pPr>
    </w:p>
    <w:p w:rsidR="00B749AA" w:rsidRPr="004938BD" w:rsidRDefault="00B749AA" w:rsidP="006A3026">
      <w:pPr>
        <w:spacing w:beforeLines="60" w:before="144" w:after="0" w:line="240" w:lineRule="auto"/>
        <w:rPr>
          <w:rFonts w:ascii="Verdana" w:hAnsi="Verdana" w:cs="Times New Roman"/>
          <w:b/>
          <w:bCs/>
          <w:iCs/>
        </w:rPr>
      </w:pPr>
      <w:r w:rsidRPr="004938BD">
        <w:rPr>
          <w:rFonts w:ascii="Verdana" w:hAnsi="Verdana" w:cs="Times New Roman"/>
          <w:b/>
          <w:bCs/>
          <w:iCs/>
        </w:rPr>
        <w:t>What is Responsible Conduct of Research?</w:t>
      </w:r>
    </w:p>
    <w:p w:rsidR="00B749AA" w:rsidRPr="004938BD" w:rsidRDefault="00B749AA" w:rsidP="006A3026">
      <w:pPr>
        <w:spacing w:beforeLines="60" w:before="144" w:after="0" w:line="240" w:lineRule="auto"/>
        <w:rPr>
          <w:rFonts w:ascii="Verdana" w:hAnsi="Verdana" w:cs="Times New Roman"/>
        </w:rPr>
      </w:pPr>
      <w:r w:rsidRPr="004938BD">
        <w:rPr>
          <w:rFonts w:ascii="Verdana" w:hAnsi="Verdana" w:cs="Times New Roman"/>
        </w:rPr>
        <w:t xml:space="preserve">It “is simply good citizenship applied to professional life.” (Steneck, N. H. </w:t>
      </w:r>
      <w:r w:rsidRPr="004938BD">
        <w:rPr>
          <w:rFonts w:ascii="Verdana" w:hAnsi="Verdana" w:cs="Times New Roman"/>
          <w:i/>
          <w:iCs/>
        </w:rPr>
        <w:t xml:space="preserve">Introduction to the Responsible Conduct of Research. </w:t>
      </w:r>
      <w:r w:rsidRPr="004938BD">
        <w:rPr>
          <w:rFonts w:ascii="Verdana" w:hAnsi="Verdana" w:cs="Times New Roman"/>
        </w:rPr>
        <w:t>Revised ed. Washington, DC: US Government Printing Office, 2004, p. xi</w:t>
      </w:r>
      <w:proofErr w:type="gramStart"/>
      <w:r w:rsidRPr="004938BD">
        <w:rPr>
          <w:rFonts w:ascii="Verdana" w:hAnsi="Verdana" w:cs="Times New Roman"/>
        </w:rPr>
        <w:t>)</w:t>
      </w:r>
      <w:r w:rsidR="00CB223D" w:rsidRPr="004938BD">
        <w:rPr>
          <w:rFonts w:ascii="Verdana" w:hAnsi="Verdana" w:cs="Times New Roman"/>
        </w:rPr>
        <w:t xml:space="preserve">  </w:t>
      </w:r>
      <w:r w:rsidRPr="004938BD">
        <w:rPr>
          <w:rFonts w:ascii="Verdana" w:hAnsi="Verdana" w:cs="Times New Roman"/>
        </w:rPr>
        <w:t>It</w:t>
      </w:r>
      <w:proofErr w:type="gramEnd"/>
      <w:r w:rsidRPr="004938BD">
        <w:rPr>
          <w:rFonts w:ascii="Verdana" w:hAnsi="Verdana" w:cs="Times New Roman"/>
        </w:rPr>
        <w:t xml:space="preserve"> encompasses the notion that all professional</w:t>
      </w:r>
      <w:r w:rsidR="00CB223D" w:rsidRPr="004938BD">
        <w:rPr>
          <w:rFonts w:ascii="Verdana" w:hAnsi="Verdana" w:cs="Times New Roman"/>
        </w:rPr>
        <w:t>s</w:t>
      </w:r>
      <w:r w:rsidRPr="004938BD">
        <w:rPr>
          <w:rFonts w:ascii="Verdana" w:hAnsi="Verdana" w:cs="Times New Roman"/>
        </w:rPr>
        <w:t xml:space="preserve"> have ethical responsibilities, not just the bench scientists.</w:t>
      </w:r>
    </w:p>
    <w:p w:rsidR="00B749AA" w:rsidRPr="004938BD" w:rsidRDefault="00B749AA" w:rsidP="006A3026">
      <w:pPr>
        <w:spacing w:beforeLines="60" w:before="144" w:after="0" w:line="240" w:lineRule="auto"/>
        <w:rPr>
          <w:rFonts w:ascii="Verdana" w:hAnsi="Verdana" w:cs="Times New Roman"/>
        </w:rPr>
      </w:pPr>
      <w:r w:rsidRPr="004938BD">
        <w:rPr>
          <w:rFonts w:ascii="Verdana" w:hAnsi="Verdana" w:cs="Times New Roman"/>
        </w:rPr>
        <w:t>The Council of Graduate Schools has a broader definition that suggests RCR include</w:t>
      </w:r>
      <w:r w:rsidR="00CB223D" w:rsidRPr="004938BD">
        <w:rPr>
          <w:rFonts w:ascii="Verdana" w:hAnsi="Verdana" w:cs="Times New Roman"/>
        </w:rPr>
        <w:t>s</w:t>
      </w:r>
      <w:r w:rsidRPr="004938BD">
        <w:rPr>
          <w:rFonts w:ascii="Verdana" w:hAnsi="Verdana" w:cs="Times New Roman"/>
        </w:rPr>
        <w:t xml:space="preserve"> all aspects of individual character and behavior that impact research. It refers to scientific integrity of the</w:t>
      </w:r>
      <w:r w:rsidR="00CB223D" w:rsidRPr="004938BD">
        <w:rPr>
          <w:rFonts w:ascii="Verdana" w:hAnsi="Verdana" w:cs="Times New Roman"/>
        </w:rPr>
        <w:t xml:space="preserve"> researcher and the reliability </w:t>
      </w:r>
      <w:r w:rsidRPr="004938BD">
        <w:rPr>
          <w:rFonts w:ascii="Verdana" w:hAnsi="Verdana" w:cs="Times New Roman"/>
        </w:rPr>
        <w:t xml:space="preserve">of the product of research itself. (Tate, P. D. </w:t>
      </w:r>
      <w:r w:rsidRPr="004938BD">
        <w:rPr>
          <w:rFonts w:ascii="Verdana" w:hAnsi="Verdana" w:cs="Times New Roman"/>
          <w:i/>
          <w:iCs/>
        </w:rPr>
        <w:t>Graduate Education for the Responsible Conduct of Research.</w:t>
      </w:r>
      <w:r w:rsidRPr="004938BD">
        <w:rPr>
          <w:rFonts w:ascii="Verdana" w:hAnsi="Verdana" w:cs="Times New Roman"/>
        </w:rPr>
        <w:t xml:space="preserve"> Washington, DC: Council of Graduate Schools, 2006, p. ix)</w:t>
      </w:r>
    </w:p>
    <w:p w:rsidR="00B749AA" w:rsidRPr="004938BD" w:rsidRDefault="00B749AA" w:rsidP="006A3026">
      <w:pPr>
        <w:spacing w:beforeLines="60" w:before="144" w:after="0" w:line="240" w:lineRule="auto"/>
        <w:rPr>
          <w:rFonts w:ascii="Verdana" w:hAnsi="Verdana" w:cs="Times New Roman"/>
        </w:rPr>
      </w:pPr>
      <w:r w:rsidRPr="004938BD">
        <w:rPr>
          <w:rFonts w:ascii="Verdana" w:hAnsi="Verdana" w:cs="Times New Roman"/>
        </w:rPr>
        <w:t xml:space="preserve">The term also suggests the importance of ethics in research, particularly in the area of research misconduct. Research misconduct includes behaviors of falsification, fabrication, and plagiarism. (Office of Science and Technology Policy, </w:t>
      </w:r>
      <w:r w:rsidRPr="004938BD">
        <w:rPr>
          <w:rFonts w:ascii="Verdana" w:hAnsi="Verdana" w:cs="Times New Roman"/>
          <w:i/>
          <w:iCs/>
        </w:rPr>
        <w:t>Federal Policy on Research Misconduct</w:t>
      </w:r>
      <w:r w:rsidRPr="004938BD">
        <w:rPr>
          <w:rFonts w:ascii="Verdana" w:hAnsi="Verdana" w:cs="Times New Roman"/>
        </w:rPr>
        <w:t xml:space="preserve">. </w:t>
      </w:r>
      <w:hyperlink r:id="rId6" w:history="1">
        <w:r w:rsidRPr="004938BD">
          <w:rPr>
            <w:rStyle w:val="Hyperlink"/>
            <w:rFonts w:ascii="Verdana" w:hAnsi="Verdana" w:cs="Times New Roman"/>
          </w:rPr>
          <w:t>http://www.ostp.gov/htm;/001207_3.html</w:t>
        </w:r>
      </w:hyperlink>
      <w:r w:rsidRPr="004938BD">
        <w:rPr>
          <w:rFonts w:ascii="Verdana" w:hAnsi="Verdana" w:cs="Times New Roman"/>
        </w:rPr>
        <w:t>  (2005)</w:t>
      </w:r>
      <w:r w:rsidR="00CB223D" w:rsidRPr="004938BD">
        <w:rPr>
          <w:rFonts w:ascii="Verdana" w:hAnsi="Verdana" w:cs="Times New Roman"/>
        </w:rPr>
        <w:t>)</w:t>
      </w:r>
      <w:r w:rsidRPr="004938BD">
        <w:rPr>
          <w:rFonts w:ascii="Verdana" w:hAnsi="Verdana" w:cs="Times New Roman"/>
        </w:rPr>
        <w:t xml:space="preserve"> </w:t>
      </w:r>
    </w:p>
    <w:p w:rsidR="00CB223D" w:rsidRPr="004938BD" w:rsidRDefault="00CB223D" w:rsidP="006A3026">
      <w:pPr>
        <w:spacing w:beforeLines="60" w:before="144" w:after="0" w:line="240" w:lineRule="auto"/>
        <w:rPr>
          <w:rFonts w:ascii="Verdana" w:hAnsi="Verdana" w:cs="Times New Roman"/>
          <w:b/>
        </w:rPr>
      </w:pPr>
    </w:p>
    <w:p w:rsidR="007C6CF8" w:rsidRPr="004938BD" w:rsidRDefault="007C6CF8" w:rsidP="006A3026">
      <w:pPr>
        <w:spacing w:beforeLines="60" w:before="144" w:after="0" w:line="240" w:lineRule="auto"/>
        <w:rPr>
          <w:rFonts w:ascii="Verdana" w:hAnsi="Verdana" w:cs="Times New Roman"/>
          <w:b/>
        </w:rPr>
      </w:pPr>
      <w:r w:rsidRPr="004938BD">
        <w:rPr>
          <w:rFonts w:ascii="Verdana" w:hAnsi="Verdana" w:cs="Times New Roman"/>
          <w:b/>
        </w:rPr>
        <w:t>Who must complete RCR Training?</w:t>
      </w:r>
    </w:p>
    <w:p w:rsidR="007C6CF8" w:rsidRPr="004938BD" w:rsidRDefault="007C6CF8" w:rsidP="006A3026">
      <w:pPr>
        <w:spacing w:beforeLines="60" w:before="144" w:after="0" w:line="240" w:lineRule="auto"/>
        <w:rPr>
          <w:rFonts w:ascii="Verdana" w:hAnsi="Verdana" w:cs="Times New Roman"/>
        </w:rPr>
      </w:pPr>
      <w:r w:rsidRPr="004938BD">
        <w:rPr>
          <w:rFonts w:ascii="Verdana" w:hAnsi="Verdana" w:cs="Times New Roman"/>
        </w:rPr>
        <w:t>Graduate students initiating research projects for professional paper</w:t>
      </w:r>
      <w:r w:rsidR="00E07069" w:rsidRPr="004938BD">
        <w:rPr>
          <w:rFonts w:ascii="Verdana" w:hAnsi="Verdana" w:cs="Times New Roman"/>
        </w:rPr>
        <w:t xml:space="preserve">s, theses, or </w:t>
      </w:r>
      <w:r w:rsidR="00C845C2" w:rsidRPr="004938BD">
        <w:rPr>
          <w:rFonts w:ascii="Verdana" w:hAnsi="Verdana" w:cs="Times New Roman"/>
        </w:rPr>
        <w:t>dissertations</w:t>
      </w:r>
      <w:r w:rsidRPr="004938BD">
        <w:rPr>
          <w:rFonts w:ascii="Verdana" w:hAnsi="Verdana" w:cs="Times New Roman"/>
        </w:rPr>
        <w:t xml:space="preserve"> and </w:t>
      </w:r>
      <w:r w:rsidR="00CB223D" w:rsidRPr="004938BD">
        <w:rPr>
          <w:rFonts w:ascii="Verdana" w:hAnsi="Verdana" w:cs="Times New Roman"/>
        </w:rPr>
        <w:t>their faculty advisor.</w:t>
      </w:r>
    </w:p>
    <w:p w:rsidR="00CB223D" w:rsidRPr="004938BD" w:rsidRDefault="00CB223D" w:rsidP="006A3026">
      <w:pPr>
        <w:spacing w:beforeLines="60" w:before="144" w:after="0" w:line="240" w:lineRule="auto"/>
        <w:rPr>
          <w:rFonts w:ascii="Verdana" w:hAnsi="Verdana" w:cs="Times New Roman"/>
          <w:b/>
          <w:bCs/>
          <w:iCs/>
        </w:rPr>
      </w:pPr>
    </w:p>
    <w:p w:rsidR="00CB223D" w:rsidRPr="004938BD" w:rsidRDefault="00CB223D" w:rsidP="006A3026">
      <w:pPr>
        <w:spacing w:beforeLines="60" w:before="144" w:after="0" w:line="240" w:lineRule="auto"/>
        <w:rPr>
          <w:rFonts w:ascii="Verdana" w:hAnsi="Verdana" w:cs="Times New Roman"/>
          <w:b/>
          <w:bCs/>
          <w:iCs/>
        </w:rPr>
      </w:pPr>
      <w:r w:rsidRPr="004938BD">
        <w:rPr>
          <w:rFonts w:ascii="Verdana" w:hAnsi="Verdana" w:cs="Times New Roman"/>
          <w:b/>
          <w:bCs/>
          <w:iCs/>
        </w:rPr>
        <w:t>Will TWU students already working on professional papers, theses, or dissertation research have to take the RCR training and show documentation of completion?</w:t>
      </w:r>
    </w:p>
    <w:p w:rsidR="00CB223D" w:rsidRPr="004938BD" w:rsidRDefault="00CB223D" w:rsidP="006A3026">
      <w:pPr>
        <w:spacing w:beforeLines="60" w:before="144" w:after="0" w:line="240" w:lineRule="auto"/>
        <w:rPr>
          <w:rFonts w:ascii="Verdana" w:hAnsi="Verdana" w:cs="Times New Roman"/>
        </w:rPr>
      </w:pPr>
      <w:r w:rsidRPr="004938BD">
        <w:rPr>
          <w:rFonts w:ascii="Verdana" w:hAnsi="Verdana" w:cs="Times New Roman"/>
        </w:rPr>
        <w:t>No. The current policy will impact those students who file a prospectus for the professional paper, thesis, or dissertation after January 1, 2013.</w:t>
      </w:r>
    </w:p>
    <w:p w:rsidR="00CB223D" w:rsidRPr="004938BD" w:rsidRDefault="00CB223D" w:rsidP="006A3026">
      <w:pPr>
        <w:spacing w:beforeLines="60" w:before="144" w:after="0" w:line="240" w:lineRule="auto"/>
        <w:rPr>
          <w:rFonts w:ascii="Verdana" w:hAnsi="Verdana" w:cs="Times New Roman"/>
          <w:b/>
          <w:bCs/>
          <w:iCs/>
        </w:rPr>
      </w:pPr>
    </w:p>
    <w:p w:rsidR="00CB223D" w:rsidRPr="004938BD" w:rsidRDefault="00CB223D" w:rsidP="006A3026">
      <w:pPr>
        <w:spacing w:beforeLines="60" w:before="144" w:after="0" w:line="240" w:lineRule="auto"/>
        <w:rPr>
          <w:rFonts w:ascii="Verdana" w:hAnsi="Verdana" w:cs="Times New Roman"/>
          <w:b/>
          <w:bCs/>
          <w:iCs/>
        </w:rPr>
      </w:pPr>
      <w:r w:rsidRPr="004938BD">
        <w:rPr>
          <w:rFonts w:ascii="Verdana" w:hAnsi="Verdana" w:cs="Times New Roman"/>
          <w:b/>
          <w:bCs/>
          <w:iCs/>
        </w:rPr>
        <w:t>Will faculty advisors already working with students on professional papers, theses, or dissertations have to take the RCR and show documentation of completion?</w:t>
      </w:r>
    </w:p>
    <w:p w:rsidR="00CB223D" w:rsidRPr="004938BD" w:rsidRDefault="00CB223D" w:rsidP="006A3026">
      <w:pPr>
        <w:spacing w:beforeLines="60" w:before="144" w:after="0" w:line="240" w:lineRule="auto"/>
        <w:rPr>
          <w:rFonts w:ascii="Verdana" w:hAnsi="Verdana" w:cs="Times New Roman"/>
        </w:rPr>
      </w:pPr>
      <w:r w:rsidRPr="004938BD">
        <w:rPr>
          <w:rFonts w:ascii="Verdana" w:hAnsi="Verdana" w:cs="Times New Roman"/>
        </w:rPr>
        <w:t>No. Faculty advisors will not have to show documentation of completion of the RCR training for any professional paper, thesis, or dissertation that was ongoing prior to January 1, 2013. However, any new professional paper, thesis, or dissertation will require the faculty advisor’s documentation of completion of the RCR training.</w:t>
      </w:r>
    </w:p>
    <w:p w:rsidR="00CB223D" w:rsidRPr="004938BD" w:rsidRDefault="00CB223D" w:rsidP="006A3026">
      <w:pPr>
        <w:spacing w:beforeLines="60" w:before="144" w:after="0" w:line="240" w:lineRule="auto"/>
        <w:rPr>
          <w:rFonts w:ascii="Verdana" w:hAnsi="Verdana" w:cs="Times New Roman"/>
          <w:b/>
          <w:bCs/>
          <w:iCs/>
        </w:rPr>
      </w:pPr>
    </w:p>
    <w:p w:rsidR="00CB223D" w:rsidRPr="004938BD" w:rsidRDefault="00E07069" w:rsidP="006A3026">
      <w:pPr>
        <w:spacing w:beforeLines="60" w:before="144" w:after="0" w:line="240" w:lineRule="auto"/>
        <w:rPr>
          <w:rFonts w:ascii="Verdana" w:hAnsi="Verdana" w:cs="Times New Roman"/>
          <w:b/>
          <w:bCs/>
          <w:iCs/>
        </w:rPr>
      </w:pPr>
      <w:r w:rsidRPr="004938BD">
        <w:rPr>
          <w:rFonts w:ascii="Verdana" w:hAnsi="Verdana" w:cs="Times New Roman"/>
          <w:b/>
          <w:bCs/>
          <w:iCs/>
        </w:rPr>
        <w:t>Does the RCR t</w:t>
      </w:r>
      <w:r w:rsidR="00CB223D" w:rsidRPr="004938BD">
        <w:rPr>
          <w:rFonts w:ascii="Verdana" w:hAnsi="Verdana" w:cs="Times New Roman"/>
          <w:b/>
          <w:bCs/>
          <w:iCs/>
        </w:rPr>
        <w:t>raining policy speak to any other type research for students?</w:t>
      </w:r>
    </w:p>
    <w:p w:rsidR="00CB223D" w:rsidRPr="004938BD" w:rsidRDefault="00CB223D" w:rsidP="006A3026">
      <w:pPr>
        <w:spacing w:beforeLines="60" w:before="144" w:after="0" w:line="240" w:lineRule="auto"/>
        <w:rPr>
          <w:rFonts w:ascii="Verdana" w:hAnsi="Verdana" w:cs="Times New Roman"/>
        </w:rPr>
      </w:pPr>
      <w:r w:rsidRPr="004938BD">
        <w:rPr>
          <w:rFonts w:ascii="Verdana" w:hAnsi="Verdana" w:cs="Times New Roman"/>
        </w:rPr>
        <w:t xml:space="preserve">The current RCR </w:t>
      </w:r>
      <w:r w:rsidR="00E07069" w:rsidRPr="004938BD">
        <w:rPr>
          <w:rFonts w:ascii="Verdana" w:hAnsi="Verdana" w:cs="Times New Roman"/>
        </w:rPr>
        <w:t>t</w:t>
      </w:r>
      <w:r w:rsidRPr="004938BD">
        <w:rPr>
          <w:rFonts w:ascii="Verdana" w:hAnsi="Verdana" w:cs="Times New Roman"/>
        </w:rPr>
        <w:t>raining policy speaks only to professional papers, theses, and dissertations.</w:t>
      </w:r>
    </w:p>
    <w:p w:rsidR="00B749AA" w:rsidRPr="004938BD" w:rsidRDefault="00B749AA" w:rsidP="006A3026">
      <w:pPr>
        <w:spacing w:beforeLines="60" w:before="144" w:after="0" w:line="240" w:lineRule="auto"/>
        <w:rPr>
          <w:rFonts w:ascii="Verdana" w:hAnsi="Verdana" w:cs="Times New Roman"/>
          <w:b/>
          <w:bCs/>
          <w:iCs/>
        </w:rPr>
      </w:pPr>
      <w:r w:rsidRPr="004938BD">
        <w:rPr>
          <w:rFonts w:ascii="Verdana" w:hAnsi="Verdana" w:cs="Times New Roman"/>
          <w:b/>
          <w:bCs/>
          <w:iCs/>
        </w:rPr>
        <w:lastRenderedPageBreak/>
        <w:t xml:space="preserve">How is the Responsible Conduct </w:t>
      </w:r>
      <w:r w:rsidR="00CB223D" w:rsidRPr="004938BD">
        <w:rPr>
          <w:rFonts w:ascii="Verdana" w:hAnsi="Verdana" w:cs="Times New Roman"/>
          <w:b/>
          <w:bCs/>
          <w:iCs/>
        </w:rPr>
        <w:t>of</w:t>
      </w:r>
      <w:r w:rsidRPr="004938BD">
        <w:rPr>
          <w:rFonts w:ascii="Verdana" w:hAnsi="Verdana" w:cs="Times New Roman"/>
          <w:b/>
          <w:bCs/>
          <w:iCs/>
        </w:rPr>
        <w:t xml:space="preserve"> Research (RCR) training different from IRB?</w:t>
      </w:r>
    </w:p>
    <w:p w:rsidR="00B749AA" w:rsidRPr="004938BD" w:rsidRDefault="00B749AA" w:rsidP="006A3026">
      <w:pPr>
        <w:spacing w:beforeLines="60" w:before="144" w:after="0" w:line="240" w:lineRule="auto"/>
        <w:rPr>
          <w:rFonts w:ascii="Verdana" w:hAnsi="Verdana" w:cs="Times New Roman"/>
        </w:rPr>
      </w:pPr>
      <w:r w:rsidRPr="004938BD">
        <w:rPr>
          <w:rFonts w:ascii="Verdana" w:hAnsi="Verdana" w:cs="Times New Roman"/>
        </w:rPr>
        <w:t xml:space="preserve">The RCR training addresses ethical issues that impact the following components of research behavior: </w:t>
      </w:r>
    </w:p>
    <w:p w:rsidR="00B749AA" w:rsidRPr="004938BD" w:rsidRDefault="00B749AA" w:rsidP="006A3026">
      <w:pPr>
        <w:pStyle w:val="ListParagraph"/>
        <w:numPr>
          <w:ilvl w:val="0"/>
          <w:numId w:val="2"/>
        </w:numPr>
        <w:spacing w:beforeLines="60" w:before="144" w:after="0" w:line="240" w:lineRule="auto"/>
        <w:contextualSpacing w:val="0"/>
        <w:rPr>
          <w:rFonts w:ascii="Verdana" w:hAnsi="Verdana" w:cs="Times New Roman"/>
        </w:rPr>
      </w:pPr>
      <w:r w:rsidRPr="004938BD">
        <w:rPr>
          <w:rFonts w:ascii="Verdana" w:hAnsi="Verdana" w:cs="Times New Roman"/>
        </w:rPr>
        <w:t>the acquisition, management, sharing, and ownership of data</w:t>
      </w:r>
    </w:p>
    <w:p w:rsidR="00B749AA" w:rsidRPr="004938BD" w:rsidRDefault="00B749AA" w:rsidP="006A3026">
      <w:pPr>
        <w:pStyle w:val="ListParagraph"/>
        <w:numPr>
          <w:ilvl w:val="0"/>
          <w:numId w:val="2"/>
        </w:numPr>
        <w:spacing w:beforeLines="60" w:before="144" w:after="0" w:line="240" w:lineRule="auto"/>
        <w:contextualSpacing w:val="0"/>
        <w:rPr>
          <w:rFonts w:ascii="Verdana" w:hAnsi="Verdana" w:cs="Times New Roman"/>
        </w:rPr>
      </w:pPr>
      <w:r w:rsidRPr="004938BD">
        <w:rPr>
          <w:rFonts w:ascii="Verdana" w:hAnsi="Verdana" w:cs="Times New Roman"/>
        </w:rPr>
        <w:t>conflict of interest and commitment</w:t>
      </w:r>
    </w:p>
    <w:p w:rsidR="00B749AA" w:rsidRPr="004938BD" w:rsidRDefault="00B749AA" w:rsidP="006A3026">
      <w:pPr>
        <w:pStyle w:val="ListParagraph"/>
        <w:numPr>
          <w:ilvl w:val="0"/>
          <w:numId w:val="2"/>
        </w:numPr>
        <w:spacing w:beforeLines="60" w:before="144" w:after="0" w:line="240" w:lineRule="auto"/>
        <w:contextualSpacing w:val="0"/>
        <w:rPr>
          <w:rFonts w:ascii="Verdana" w:hAnsi="Verdana" w:cs="Times New Roman"/>
        </w:rPr>
      </w:pPr>
      <w:r w:rsidRPr="004938BD">
        <w:rPr>
          <w:rFonts w:ascii="Verdana" w:hAnsi="Verdana" w:cs="Times New Roman"/>
        </w:rPr>
        <w:t>human subjects</w:t>
      </w:r>
    </w:p>
    <w:p w:rsidR="00B749AA" w:rsidRPr="004938BD" w:rsidRDefault="00B749AA" w:rsidP="006A3026">
      <w:pPr>
        <w:pStyle w:val="ListParagraph"/>
        <w:numPr>
          <w:ilvl w:val="0"/>
          <w:numId w:val="2"/>
        </w:numPr>
        <w:spacing w:beforeLines="60" w:before="144" w:after="0" w:line="240" w:lineRule="auto"/>
        <w:contextualSpacing w:val="0"/>
        <w:rPr>
          <w:rFonts w:ascii="Verdana" w:hAnsi="Verdana" w:cs="Times New Roman"/>
        </w:rPr>
      </w:pPr>
      <w:r w:rsidRPr="004938BD">
        <w:rPr>
          <w:rFonts w:ascii="Verdana" w:hAnsi="Verdana" w:cs="Times New Roman"/>
        </w:rPr>
        <w:t>animal welfare</w:t>
      </w:r>
    </w:p>
    <w:p w:rsidR="00B749AA" w:rsidRPr="004938BD" w:rsidRDefault="00B749AA" w:rsidP="006A3026">
      <w:pPr>
        <w:pStyle w:val="ListParagraph"/>
        <w:numPr>
          <w:ilvl w:val="0"/>
          <w:numId w:val="2"/>
        </w:numPr>
        <w:spacing w:beforeLines="60" w:before="144" w:after="0" w:line="240" w:lineRule="auto"/>
        <w:contextualSpacing w:val="0"/>
        <w:rPr>
          <w:rFonts w:ascii="Verdana" w:hAnsi="Verdana" w:cs="Times New Roman"/>
        </w:rPr>
      </w:pPr>
      <w:r w:rsidRPr="004938BD">
        <w:rPr>
          <w:rFonts w:ascii="Verdana" w:hAnsi="Verdana" w:cs="Times New Roman"/>
        </w:rPr>
        <w:t>research misconduct (falsification, fabrication, plagiarism)</w:t>
      </w:r>
    </w:p>
    <w:p w:rsidR="00B749AA" w:rsidRPr="004938BD" w:rsidRDefault="00B749AA" w:rsidP="006A3026">
      <w:pPr>
        <w:pStyle w:val="ListParagraph"/>
        <w:numPr>
          <w:ilvl w:val="0"/>
          <w:numId w:val="2"/>
        </w:numPr>
        <w:spacing w:beforeLines="60" w:before="144" w:after="0" w:line="240" w:lineRule="auto"/>
        <w:contextualSpacing w:val="0"/>
        <w:rPr>
          <w:rFonts w:ascii="Verdana" w:hAnsi="Verdana" w:cs="Times New Roman"/>
        </w:rPr>
      </w:pPr>
      <w:r w:rsidRPr="004938BD">
        <w:rPr>
          <w:rFonts w:ascii="Verdana" w:hAnsi="Verdana" w:cs="Times New Roman"/>
        </w:rPr>
        <w:t>publication practices and responsible authorship</w:t>
      </w:r>
    </w:p>
    <w:p w:rsidR="00B749AA" w:rsidRPr="004938BD" w:rsidRDefault="00B749AA" w:rsidP="006A3026">
      <w:pPr>
        <w:pStyle w:val="ListParagraph"/>
        <w:numPr>
          <w:ilvl w:val="0"/>
          <w:numId w:val="2"/>
        </w:numPr>
        <w:spacing w:beforeLines="60" w:before="144" w:after="0" w:line="240" w:lineRule="auto"/>
        <w:contextualSpacing w:val="0"/>
        <w:rPr>
          <w:rFonts w:ascii="Verdana" w:hAnsi="Verdana" w:cs="Times New Roman"/>
        </w:rPr>
      </w:pPr>
      <w:r w:rsidRPr="004938BD">
        <w:rPr>
          <w:rFonts w:ascii="Verdana" w:hAnsi="Verdana" w:cs="Times New Roman"/>
        </w:rPr>
        <w:t>mentor/trainee responsibilities</w:t>
      </w:r>
    </w:p>
    <w:p w:rsidR="00B749AA" w:rsidRPr="004938BD" w:rsidRDefault="00B749AA" w:rsidP="006A3026">
      <w:pPr>
        <w:pStyle w:val="ListParagraph"/>
        <w:numPr>
          <w:ilvl w:val="0"/>
          <w:numId w:val="2"/>
        </w:numPr>
        <w:spacing w:beforeLines="60" w:before="144" w:after="0" w:line="240" w:lineRule="auto"/>
        <w:contextualSpacing w:val="0"/>
        <w:rPr>
          <w:rFonts w:ascii="Verdana" w:hAnsi="Verdana" w:cs="Times New Roman"/>
        </w:rPr>
      </w:pPr>
      <w:r w:rsidRPr="004938BD">
        <w:rPr>
          <w:rFonts w:ascii="Verdana" w:hAnsi="Verdana" w:cs="Times New Roman"/>
        </w:rPr>
        <w:t>peer review</w:t>
      </w:r>
    </w:p>
    <w:p w:rsidR="00B749AA" w:rsidRPr="004938BD" w:rsidRDefault="00B749AA" w:rsidP="006A3026">
      <w:pPr>
        <w:pStyle w:val="ListParagraph"/>
        <w:numPr>
          <w:ilvl w:val="0"/>
          <w:numId w:val="2"/>
        </w:numPr>
        <w:spacing w:beforeLines="60" w:before="144" w:after="0" w:line="240" w:lineRule="auto"/>
        <w:contextualSpacing w:val="0"/>
        <w:rPr>
          <w:rFonts w:ascii="Verdana" w:hAnsi="Verdana" w:cs="Times New Roman"/>
        </w:rPr>
      </w:pPr>
      <w:r w:rsidRPr="004938BD">
        <w:rPr>
          <w:rFonts w:ascii="Verdana" w:hAnsi="Verdana" w:cs="Times New Roman"/>
        </w:rPr>
        <w:t>collaborative science</w:t>
      </w:r>
    </w:p>
    <w:p w:rsidR="00E07069" w:rsidRPr="004938BD" w:rsidRDefault="00E07069" w:rsidP="006A3026">
      <w:pPr>
        <w:spacing w:beforeLines="60" w:before="144" w:after="0" w:line="240" w:lineRule="auto"/>
        <w:rPr>
          <w:rFonts w:ascii="Verdana" w:hAnsi="Verdana" w:cs="Times New Roman"/>
          <w:b/>
          <w:bCs/>
          <w:iCs/>
        </w:rPr>
      </w:pPr>
    </w:p>
    <w:p w:rsidR="00B749AA" w:rsidRPr="004938BD" w:rsidRDefault="00B749AA" w:rsidP="006A3026">
      <w:pPr>
        <w:spacing w:beforeLines="60" w:before="144" w:after="0" w:line="240" w:lineRule="auto"/>
        <w:rPr>
          <w:rFonts w:ascii="Verdana" w:hAnsi="Verdana" w:cs="Times New Roman"/>
          <w:b/>
          <w:bCs/>
          <w:iCs/>
        </w:rPr>
      </w:pPr>
      <w:r w:rsidRPr="004938BD">
        <w:rPr>
          <w:rFonts w:ascii="Verdana" w:hAnsi="Verdana" w:cs="Times New Roman"/>
          <w:b/>
          <w:bCs/>
          <w:iCs/>
        </w:rPr>
        <w:t>When will faculty have to start taking the RCR training and documenting their completion of the training?</w:t>
      </w:r>
    </w:p>
    <w:p w:rsidR="00C845C2" w:rsidRPr="004938BD" w:rsidRDefault="00B749AA" w:rsidP="006A3026">
      <w:pPr>
        <w:spacing w:beforeLines="60" w:before="144" w:after="0" w:line="240" w:lineRule="auto"/>
        <w:rPr>
          <w:rFonts w:ascii="Verdana" w:hAnsi="Verdana" w:cs="Times New Roman"/>
        </w:rPr>
      </w:pPr>
      <w:r w:rsidRPr="004938BD">
        <w:rPr>
          <w:rFonts w:ascii="Verdana" w:hAnsi="Verdana" w:cs="Times New Roman"/>
        </w:rPr>
        <w:t xml:space="preserve">Faculty may start taking the RCR training now, particularly if they are expecting students to submit a prospectus for professional paper, thesis, or dissertation at any time during the </w:t>
      </w:r>
      <w:proofErr w:type="gramStart"/>
      <w:r w:rsidRPr="004938BD">
        <w:rPr>
          <w:rFonts w:ascii="Verdana" w:hAnsi="Verdana" w:cs="Times New Roman"/>
        </w:rPr>
        <w:t>Spring</w:t>
      </w:r>
      <w:proofErr w:type="gramEnd"/>
      <w:r w:rsidRPr="004938BD">
        <w:rPr>
          <w:rFonts w:ascii="Verdana" w:hAnsi="Verdana" w:cs="Times New Roman"/>
        </w:rPr>
        <w:t xml:space="preserve"> 2013 semester. </w:t>
      </w:r>
    </w:p>
    <w:p w:rsidR="00B749AA" w:rsidRPr="004938BD" w:rsidRDefault="00C845C2" w:rsidP="006A3026">
      <w:pPr>
        <w:spacing w:beforeLines="60" w:before="144" w:after="0" w:line="240" w:lineRule="auto"/>
        <w:rPr>
          <w:rFonts w:ascii="Verdana" w:hAnsi="Verdana" w:cs="Times New Roman"/>
        </w:rPr>
      </w:pPr>
      <w:r w:rsidRPr="004938BD">
        <w:rPr>
          <w:rFonts w:ascii="Verdana" w:hAnsi="Verdana" w:cs="Times New Roman"/>
        </w:rPr>
        <w:t>In addition, a</w:t>
      </w:r>
      <w:r w:rsidR="00B749AA" w:rsidRPr="004938BD">
        <w:rPr>
          <w:rFonts w:ascii="Verdana" w:hAnsi="Verdana" w:cs="Times New Roman"/>
        </w:rPr>
        <w:t xml:space="preserve">ll </w:t>
      </w:r>
      <w:proofErr w:type="gramStart"/>
      <w:r w:rsidR="00B749AA" w:rsidRPr="004938BD">
        <w:rPr>
          <w:rFonts w:ascii="Verdana" w:hAnsi="Verdana" w:cs="Times New Roman"/>
        </w:rPr>
        <w:t>faculty</w:t>
      </w:r>
      <w:proofErr w:type="gramEnd"/>
      <w:r w:rsidR="00B749AA" w:rsidRPr="004938BD">
        <w:rPr>
          <w:rFonts w:ascii="Verdana" w:hAnsi="Verdana" w:cs="Times New Roman"/>
        </w:rPr>
        <w:t xml:space="preserve"> will have to submit documentation of completion of RCR training with their next application for Graduate Faculty Membership. A revised application form will </w:t>
      </w:r>
      <w:r w:rsidRPr="004938BD">
        <w:rPr>
          <w:rFonts w:ascii="Verdana" w:hAnsi="Verdana" w:cs="Times New Roman"/>
        </w:rPr>
        <w:t>ask for the date of completion and inclusion of the certificate of completion.</w:t>
      </w:r>
    </w:p>
    <w:p w:rsidR="00E07069" w:rsidRPr="004938BD" w:rsidRDefault="00E07069" w:rsidP="006A3026">
      <w:pPr>
        <w:spacing w:beforeLines="60" w:before="144" w:after="0" w:line="240" w:lineRule="auto"/>
        <w:rPr>
          <w:rFonts w:ascii="Verdana" w:hAnsi="Verdana" w:cs="Times New Roman"/>
          <w:b/>
          <w:bCs/>
          <w:iCs/>
        </w:rPr>
      </w:pPr>
    </w:p>
    <w:p w:rsidR="00B749AA" w:rsidRPr="004938BD" w:rsidRDefault="00B749AA" w:rsidP="006A3026">
      <w:pPr>
        <w:spacing w:beforeLines="60" w:before="144" w:after="0" w:line="240" w:lineRule="auto"/>
        <w:rPr>
          <w:rFonts w:ascii="Verdana" w:hAnsi="Verdana" w:cs="Times New Roman"/>
          <w:b/>
          <w:bCs/>
          <w:iCs/>
        </w:rPr>
      </w:pPr>
      <w:r w:rsidRPr="004938BD">
        <w:rPr>
          <w:rFonts w:ascii="Verdana" w:hAnsi="Verdana" w:cs="Times New Roman"/>
          <w:b/>
          <w:bCs/>
          <w:iCs/>
        </w:rPr>
        <w:t>How long does it take to complete a CITI program course?</w:t>
      </w:r>
    </w:p>
    <w:p w:rsidR="00B749AA" w:rsidRPr="004938BD" w:rsidRDefault="00B749AA" w:rsidP="006A3026">
      <w:pPr>
        <w:spacing w:beforeLines="60" w:before="144" w:after="0" w:line="240" w:lineRule="auto"/>
        <w:rPr>
          <w:rFonts w:ascii="Verdana" w:hAnsi="Verdana" w:cs="Times New Roman"/>
          <w:color w:val="000000"/>
        </w:rPr>
      </w:pPr>
      <w:r w:rsidRPr="004938BD">
        <w:rPr>
          <w:rFonts w:ascii="Verdana" w:hAnsi="Verdana" w:cs="Times New Roman"/>
          <w:color w:val="000000"/>
        </w:rPr>
        <w:t>Each institution has specific instructional requirements for their learners. Each CITI Program module requires that you read a specified amount of text and complete a quiz at the end of each module. </w:t>
      </w:r>
      <w:r w:rsidRPr="004938BD">
        <w:rPr>
          <w:rFonts w:ascii="Verdana" w:hAnsi="Verdana" w:cs="Times New Roman"/>
          <w:color w:val="000000"/>
        </w:rPr>
        <w:br/>
        <w:t xml:space="preserve"> The average learner spends approximately 4.5 hours with approximately 5 logins </w:t>
      </w:r>
      <w:r w:rsidR="00E07069" w:rsidRPr="004938BD">
        <w:rPr>
          <w:rFonts w:ascii="Verdana" w:hAnsi="Verdana" w:cs="Times New Roman"/>
          <w:color w:val="000000"/>
        </w:rPr>
        <w:t>to complete the Basic Course</w:t>
      </w:r>
      <w:r w:rsidRPr="004938BD">
        <w:rPr>
          <w:rFonts w:ascii="Verdana" w:hAnsi="Verdana" w:cs="Times New Roman"/>
          <w:color w:val="000000"/>
        </w:rPr>
        <w:t xml:space="preserve">. The average learner requires approximately 2 hours </w:t>
      </w:r>
      <w:proofErr w:type="gramStart"/>
      <w:r w:rsidRPr="004938BD">
        <w:rPr>
          <w:rFonts w:ascii="Verdana" w:hAnsi="Verdana" w:cs="Times New Roman"/>
          <w:color w:val="000000"/>
        </w:rPr>
        <w:t>to complete</w:t>
      </w:r>
      <w:proofErr w:type="gramEnd"/>
      <w:r w:rsidRPr="004938BD">
        <w:rPr>
          <w:rFonts w:ascii="Verdana" w:hAnsi="Verdana" w:cs="Times New Roman"/>
          <w:color w:val="000000"/>
        </w:rPr>
        <w:t xml:space="preserve"> a CITI Program “Refresher Course.” </w:t>
      </w:r>
    </w:p>
    <w:p w:rsidR="00B749AA" w:rsidRPr="004938BD" w:rsidRDefault="00B749AA" w:rsidP="006A3026">
      <w:pPr>
        <w:spacing w:beforeLines="60" w:before="144" w:after="0" w:line="240" w:lineRule="auto"/>
        <w:rPr>
          <w:rFonts w:ascii="Verdana" w:hAnsi="Verdana" w:cs="Times New Roman"/>
          <w:iCs/>
        </w:rPr>
      </w:pPr>
    </w:p>
    <w:p w:rsidR="00B749AA" w:rsidRPr="004938BD" w:rsidRDefault="00B749AA" w:rsidP="006A3026">
      <w:pPr>
        <w:spacing w:beforeLines="60" w:before="144" w:after="0" w:line="240" w:lineRule="auto"/>
        <w:rPr>
          <w:rFonts w:ascii="Verdana" w:hAnsi="Verdana" w:cs="Times New Roman"/>
          <w:b/>
          <w:bCs/>
          <w:iCs/>
        </w:rPr>
      </w:pPr>
      <w:r w:rsidRPr="004938BD">
        <w:rPr>
          <w:rFonts w:ascii="Verdana" w:hAnsi="Verdana" w:cs="Times New Roman"/>
          <w:b/>
          <w:bCs/>
          <w:iCs/>
        </w:rPr>
        <w:t>How do I know I passed a course or not?</w:t>
      </w:r>
    </w:p>
    <w:p w:rsidR="00B749AA" w:rsidRPr="004938BD" w:rsidRDefault="00B749AA" w:rsidP="006A3026">
      <w:pPr>
        <w:spacing w:beforeLines="60" w:before="144" w:after="0" w:line="240" w:lineRule="auto"/>
        <w:rPr>
          <w:rFonts w:ascii="Verdana" w:hAnsi="Verdana" w:cs="Times New Roman"/>
          <w:color w:val="000000"/>
        </w:rPr>
      </w:pPr>
      <w:r w:rsidRPr="004938BD">
        <w:rPr>
          <w:rFonts w:ascii="Verdana" w:hAnsi="Verdana" w:cs="Times New Roman"/>
          <w:color w:val="000000"/>
        </w:rPr>
        <w:t xml:space="preserve">If you have completed all of the modules but your course status states “Not Passed” you most likely have not met the grade requirement set by your institution. Each institution decides on what constitutes a passing score for their learners. This can </w:t>
      </w:r>
      <w:r w:rsidRPr="004938BD">
        <w:rPr>
          <w:rFonts w:ascii="Verdana" w:hAnsi="Verdana" w:cs="Times New Roman"/>
          <w:color w:val="000000"/>
        </w:rPr>
        <w:lastRenderedPageBreak/>
        <w:t>ra</w:t>
      </w:r>
      <w:r w:rsidR="00E07069" w:rsidRPr="004938BD">
        <w:rPr>
          <w:rFonts w:ascii="Verdana" w:hAnsi="Verdana" w:cs="Times New Roman"/>
          <w:color w:val="000000"/>
        </w:rPr>
        <w:t xml:space="preserve">nge anywhere from 0% to 100%.  </w:t>
      </w:r>
      <w:r w:rsidRPr="004938BD">
        <w:rPr>
          <w:rFonts w:ascii="Verdana" w:hAnsi="Verdana" w:cs="Times New Roman"/>
          <w:color w:val="000000"/>
        </w:rPr>
        <w:t xml:space="preserve">You can re-enter each module and re-take each quiz to achieve a passing score as necessary.  </w:t>
      </w:r>
    </w:p>
    <w:p w:rsidR="00B749AA" w:rsidRPr="004938BD" w:rsidRDefault="00B749AA" w:rsidP="006A3026">
      <w:pPr>
        <w:spacing w:beforeLines="60" w:before="144" w:after="0" w:line="240" w:lineRule="auto"/>
        <w:rPr>
          <w:rFonts w:ascii="Verdana" w:hAnsi="Verdana" w:cs="Times New Roman"/>
          <w:b/>
          <w:bCs/>
          <w:color w:val="000000"/>
        </w:rPr>
      </w:pPr>
    </w:p>
    <w:p w:rsidR="00B749AA" w:rsidRPr="004938BD" w:rsidRDefault="00B749AA" w:rsidP="006A3026">
      <w:pPr>
        <w:spacing w:beforeLines="60" w:before="144" w:after="0" w:line="240" w:lineRule="auto"/>
        <w:rPr>
          <w:rFonts w:ascii="Verdana" w:hAnsi="Verdana" w:cs="Times New Roman"/>
          <w:b/>
          <w:bCs/>
          <w:iCs/>
          <w:color w:val="000000"/>
        </w:rPr>
      </w:pPr>
      <w:r w:rsidRPr="004938BD">
        <w:rPr>
          <w:rFonts w:ascii="Verdana" w:hAnsi="Verdana" w:cs="Times New Roman"/>
          <w:b/>
          <w:bCs/>
          <w:iCs/>
          <w:color w:val="000000"/>
        </w:rPr>
        <w:t>How are quiz scores calculated?</w:t>
      </w:r>
    </w:p>
    <w:p w:rsidR="00B749AA" w:rsidRPr="004938BD" w:rsidRDefault="00B749AA" w:rsidP="006A3026">
      <w:pPr>
        <w:spacing w:beforeLines="60" w:before="144" w:after="0" w:line="240" w:lineRule="auto"/>
        <w:rPr>
          <w:rFonts w:ascii="Verdana" w:hAnsi="Verdana" w:cs="Times New Roman"/>
          <w:color w:val="000000"/>
        </w:rPr>
      </w:pPr>
      <w:r w:rsidRPr="004938BD">
        <w:rPr>
          <w:rFonts w:ascii="Verdana" w:hAnsi="Verdana" w:cs="Times New Roman"/>
          <w:color w:val="000000"/>
        </w:rPr>
        <w:t xml:space="preserve">Quiz scores are calculated by dividing the number of correct answers by the number of the total answers, multiplied by </w:t>
      </w:r>
      <w:r w:rsidR="00E07069" w:rsidRPr="004938BD">
        <w:rPr>
          <w:rFonts w:ascii="Verdana" w:hAnsi="Verdana" w:cs="Times New Roman"/>
          <w:color w:val="000000"/>
        </w:rPr>
        <w:t>100.</w:t>
      </w:r>
      <w:r w:rsidR="00E07069" w:rsidRPr="004938BD">
        <w:rPr>
          <w:rFonts w:ascii="Verdana" w:hAnsi="Verdana" w:cs="Times New Roman"/>
          <w:color w:val="000000"/>
        </w:rPr>
        <w:br/>
        <w:t> </w:t>
      </w:r>
      <w:r w:rsidR="00E07069" w:rsidRPr="004938BD">
        <w:rPr>
          <w:rFonts w:ascii="Verdana" w:hAnsi="Verdana" w:cs="Times New Roman"/>
          <w:color w:val="000000"/>
        </w:rPr>
        <w:br/>
        <w:t xml:space="preserve">Example:  </w:t>
      </w:r>
      <w:r w:rsidRPr="004938BD">
        <w:rPr>
          <w:rFonts w:ascii="Verdana" w:hAnsi="Verdana" w:cs="Times New Roman"/>
          <w:color w:val="000000"/>
        </w:rPr>
        <w:t>8 correct answers out of 10 questions total.</w:t>
      </w:r>
      <w:r w:rsidRPr="004938BD">
        <w:rPr>
          <w:rFonts w:ascii="Verdana" w:hAnsi="Verdana" w:cs="Times New Roman"/>
          <w:color w:val="000000"/>
        </w:rPr>
        <w:br/>
        <w:t xml:space="preserve">                           </w:t>
      </w:r>
      <w:proofErr w:type="gramStart"/>
      <w:r w:rsidRPr="004938BD">
        <w:rPr>
          <w:rFonts w:ascii="Verdana" w:hAnsi="Verdana" w:cs="Times New Roman"/>
          <w:color w:val="000000"/>
        </w:rPr>
        <w:t>o</w:t>
      </w:r>
      <w:proofErr w:type="gramEnd"/>
      <w:r w:rsidRPr="004938BD">
        <w:rPr>
          <w:rFonts w:ascii="Verdana" w:hAnsi="Verdana" w:cs="Times New Roman"/>
          <w:color w:val="000000"/>
        </w:rPr>
        <w:t>   8/10 = .8</w:t>
      </w:r>
      <w:r w:rsidRPr="004938BD">
        <w:rPr>
          <w:rFonts w:ascii="Verdana" w:hAnsi="Verdana" w:cs="Times New Roman"/>
          <w:color w:val="000000"/>
        </w:rPr>
        <w:br/>
        <w:t>                           o   .8 X 100 = 80</w:t>
      </w:r>
      <w:r w:rsidRPr="004938BD">
        <w:rPr>
          <w:rFonts w:ascii="Verdana" w:hAnsi="Verdana" w:cs="Times New Roman"/>
          <w:color w:val="000000"/>
        </w:rPr>
        <w:br/>
        <w:t xml:space="preserve">                           o   Your quiz score = 80% </w:t>
      </w:r>
    </w:p>
    <w:p w:rsidR="00B749AA" w:rsidRPr="004938BD" w:rsidRDefault="00B749AA" w:rsidP="006A3026">
      <w:pPr>
        <w:spacing w:beforeLines="60" w:before="144" w:after="0" w:line="240" w:lineRule="auto"/>
        <w:rPr>
          <w:rFonts w:ascii="Verdana" w:hAnsi="Verdana" w:cs="Times New Roman"/>
          <w:color w:val="000000"/>
        </w:rPr>
      </w:pPr>
      <w:r w:rsidRPr="004938BD">
        <w:rPr>
          <w:rFonts w:ascii="Verdana" w:hAnsi="Verdana" w:cs="Times New Roman"/>
          <w:color w:val="000000"/>
        </w:rPr>
        <w:t> </w:t>
      </w:r>
    </w:p>
    <w:p w:rsidR="00B749AA" w:rsidRPr="004938BD" w:rsidRDefault="00B749AA" w:rsidP="006A3026">
      <w:pPr>
        <w:spacing w:beforeLines="60" w:before="144" w:after="0" w:line="240" w:lineRule="auto"/>
        <w:rPr>
          <w:rFonts w:ascii="Verdana" w:hAnsi="Verdana" w:cs="Times New Roman"/>
          <w:b/>
          <w:bCs/>
          <w:iCs/>
        </w:rPr>
      </w:pPr>
      <w:r w:rsidRPr="004938BD">
        <w:rPr>
          <w:rFonts w:ascii="Verdana" w:hAnsi="Verdana" w:cs="Times New Roman"/>
          <w:b/>
          <w:bCs/>
          <w:iCs/>
        </w:rPr>
        <w:t>How do I view the modules that I have completed?</w:t>
      </w:r>
    </w:p>
    <w:p w:rsidR="00B749AA" w:rsidRPr="004938BD" w:rsidRDefault="00B749AA" w:rsidP="006A3026">
      <w:pPr>
        <w:spacing w:beforeLines="60" w:before="144" w:after="0" w:line="240" w:lineRule="auto"/>
        <w:rPr>
          <w:rFonts w:ascii="Verdana" w:hAnsi="Verdana" w:cs="Times New Roman"/>
          <w:color w:val="000000"/>
        </w:rPr>
      </w:pPr>
      <w:r w:rsidRPr="004938BD">
        <w:rPr>
          <w:rFonts w:ascii="Verdana" w:hAnsi="Verdana" w:cs="Times New Roman"/>
          <w:color w:val="000000"/>
        </w:rPr>
        <w:t xml:space="preserve">From your Main Menu, select the "Previous Coursework" link and then select the "All Modules" link to view all of the modules that you have completed. </w:t>
      </w:r>
      <w:r w:rsidR="00E07069" w:rsidRPr="004938BD">
        <w:rPr>
          <w:rFonts w:ascii="Verdana" w:hAnsi="Verdana" w:cs="Times New Roman"/>
          <w:color w:val="000000"/>
        </w:rPr>
        <w:t xml:space="preserve"> </w:t>
      </w:r>
      <w:r w:rsidRPr="004938BD">
        <w:rPr>
          <w:rFonts w:ascii="Verdana" w:hAnsi="Verdana" w:cs="Times New Roman"/>
          <w:color w:val="000000"/>
        </w:rPr>
        <w:t>After successful completion of the training, you will be informed by the program and you are encouraged to print several copies of the certificate. This process is similar to the IRB training.</w:t>
      </w:r>
    </w:p>
    <w:p w:rsidR="009E3CEA" w:rsidRPr="004938BD" w:rsidRDefault="009E3CEA" w:rsidP="006A3026">
      <w:pPr>
        <w:spacing w:beforeLines="60" w:before="144" w:after="0" w:line="240" w:lineRule="auto"/>
        <w:rPr>
          <w:rFonts w:ascii="Verdana" w:hAnsi="Verdana" w:cs="Times New Roman"/>
          <w:b/>
          <w:bCs/>
          <w:iCs/>
        </w:rPr>
      </w:pPr>
    </w:p>
    <w:p w:rsidR="00B749AA" w:rsidRPr="004938BD" w:rsidRDefault="00B749AA" w:rsidP="006A3026">
      <w:pPr>
        <w:spacing w:beforeLines="60" w:before="144" w:after="0" w:line="240" w:lineRule="auto"/>
        <w:rPr>
          <w:rFonts w:ascii="Verdana" w:hAnsi="Verdana" w:cs="Times New Roman"/>
          <w:b/>
          <w:bCs/>
          <w:iCs/>
        </w:rPr>
      </w:pPr>
      <w:r w:rsidRPr="004938BD">
        <w:rPr>
          <w:rFonts w:ascii="Verdana" w:hAnsi="Verdana" w:cs="Times New Roman"/>
          <w:b/>
          <w:bCs/>
          <w:iCs/>
        </w:rPr>
        <w:t xml:space="preserve">My course state “Not </w:t>
      </w:r>
      <w:proofErr w:type="gramStart"/>
      <w:r w:rsidRPr="004938BD">
        <w:rPr>
          <w:rFonts w:ascii="Verdana" w:hAnsi="Verdana" w:cs="Times New Roman"/>
          <w:b/>
          <w:bCs/>
          <w:iCs/>
        </w:rPr>
        <w:t>Passed—</w:t>
      </w:r>
      <w:proofErr w:type="gramEnd"/>
      <w:r w:rsidRPr="004938BD">
        <w:rPr>
          <w:rFonts w:ascii="Verdana" w:hAnsi="Verdana" w:cs="Times New Roman"/>
          <w:b/>
          <w:bCs/>
          <w:iCs/>
        </w:rPr>
        <w:t>Re-Enter.”</w:t>
      </w:r>
    </w:p>
    <w:p w:rsidR="00B749AA" w:rsidRPr="004938BD" w:rsidRDefault="00B749AA" w:rsidP="006A3026">
      <w:pPr>
        <w:spacing w:beforeLines="60" w:before="144" w:after="0" w:line="240" w:lineRule="auto"/>
        <w:rPr>
          <w:rFonts w:ascii="Verdana" w:hAnsi="Verdana" w:cs="Times New Roman"/>
          <w:color w:val="000000"/>
        </w:rPr>
      </w:pPr>
      <w:r w:rsidRPr="004938BD">
        <w:rPr>
          <w:rFonts w:ascii="Verdana" w:hAnsi="Verdana" w:cs="Times New Roman"/>
          <w:color w:val="000000"/>
        </w:rPr>
        <w:t>If you have completed all the modules but your course status states, “Not Passed” you most likely have not met the grade requirement set by your institution. Each institution decides on what the passing score for their learners will be. This score ca</w:t>
      </w:r>
      <w:r w:rsidR="00E07069" w:rsidRPr="004938BD">
        <w:rPr>
          <w:rFonts w:ascii="Verdana" w:hAnsi="Verdana" w:cs="Times New Roman"/>
          <w:color w:val="000000"/>
        </w:rPr>
        <w:t xml:space="preserve">n range anywhere from 0-100%.   </w:t>
      </w:r>
      <w:r w:rsidRPr="004938BD">
        <w:rPr>
          <w:rFonts w:ascii="Verdana" w:hAnsi="Verdana" w:cs="Times New Roman"/>
          <w:color w:val="000000"/>
        </w:rPr>
        <w:t>You can re-enter the modules and re-take the quizzes to achieve a passing score.</w:t>
      </w:r>
    </w:p>
    <w:p w:rsidR="00E07069" w:rsidRPr="004938BD" w:rsidRDefault="00E07069" w:rsidP="006A3026">
      <w:pPr>
        <w:spacing w:beforeLines="60" w:before="144" w:after="0" w:line="240" w:lineRule="auto"/>
        <w:rPr>
          <w:rFonts w:ascii="Verdana" w:hAnsi="Verdana" w:cs="Times New Roman"/>
          <w:b/>
          <w:bCs/>
          <w:iCs/>
        </w:rPr>
      </w:pPr>
    </w:p>
    <w:p w:rsidR="00CB223D" w:rsidRPr="004938BD" w:rsidRDefault="00CB223D" w:rsidP="006A3026">
      <w:pPr>
        <w:spacing w:beforeLines="60" w:before="144" w:after="0" w:line="240" w:lineRule="auto"/>
        <w:rPr>
          <w:rFonts w:ascii="Verdana" w:hAnsi="Verdana" w:cs="Times New Roman"/>
          <w:b/>
          <w:bCs/>
          <w:iCs/>
        </w:rPr>
      </w:pPr>
      <w:r w:rsidRPr="004938BD">
        <w:rPr>
          <w:rFonts w:ascii="Verdana" w:hAnsi="Verdana" w:cs="Times New Roman"/>
          <w:b/>
          <w:bCs/>
          <w:iCs/>
        </w:rPr>
        <w:t>What is the cost to TWU to participate in the RCR training initiative?</w:t>
      </w:r>
    </w:p>
    <w:p w:rsidR="00CB223D" w:rsidRPr="004938BD" w:rsidRDefault="00CB223D" w:rsidP="006A3026">
      <w:pPr>
        <w:spacing w:beforeLines="60" w:before="144" w:after="0" w:line="240" w:lineRule="auto"/>
        <w:rPr>
          <w:rFonts w:ascii="Verdana" w:hAnsi="Verdana" w:cs="Times New Roman"/>
        </w:rPr>
      </w:pPr>
      <w:r w:rsidRPr="004938BD">
        <w:rPr>
          <w:rFonts w:ascii="Verdana" w:hAnsi="Verdana" w:cs="Times New Roman"/>
        </w:rPr>
        <w:t>TWU pays $2,200 per year for the participation.</w:t>
      </w:r>
    </w:p>
    <w:p w:rsidR="00CB223D" w:rsidRPr="004938BD" w:rsidRDefault="00CB223D" w:rsidP="009E3CEA">
      <w:pPr>
        <w:spacing w:before="60" w:after="0" w:line="240" w:lineRule="auto"/>
        <w:rPr>
          <w:rFonts w:ascii="Verdana" w:hAnsi="Verdana" w:cs="Times New Roman"/>
          <w:color w:val="000000"/>
        </w:rPr>
      </w:pPr>
    </w:p>
    <w:p w:rsidR="00B749AA" w:rsidRPr="00CB223D" w:rsidRDefault="00B749AA" w:rsidP="009E3CEA">
      <w:pPr>
        <w:spacing w:before="60" w:after="0" w:line="240" w:lineRule="auto"/>
      </w:pPr>
    </w:p>
    <w:sectPr w:rsidR="00B749AA" w:rsidRPr="00CB223D" w:rsidSect="001B33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E1AAA"/>
    <w:multiLevelType w:val="hybridMultilevel"/>
    <w:tmpl w:val="20EEAA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37A0EDE"/>
    <w:multiLevelType w:val="multilevel"/>
    <w:tmpl w:val="1204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3mWi257AjAnd8J1vuLQ68Y1cas=" w:salt="zMaJuuViuuBcoWZQufn/hA=="/>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CF8"/>
    <w:rsid w:val="000B6583"/>
    <w:rsid w:val="000F0334"/>
    <w:rsid w:val="00120D2E"/>
    <w:rsid w:val="001B331A"/>
    <w:rsid w:val="00251833"/>
    <w:rsid w:val="004938BD"/>
    <w:rsid w:val="006A3026"/>
    <w:rsid w:val="007C6CF8"/>
    <w:rsid w:val="007E17F9"/>
    <w:rsid w:val="009E3CEA"/>
    <w:rsid w:val="00B749AA"/>
    <w:rsid w:val="00C845C2"/>
    <w:rsid w:val="00CB223D"/>
    <w:rsid w:val="00CE2515"/>
    <w:rsid w:val="00E07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6C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6CF8"/>
    <w:rPr>
      <w:b/>
      <w:bCs/>
    </w:rPr>
  </w:style>
  <w:style w:type="character" w:styleId="Hyperlink">
    <w:name w:val="Hyperlink"/>
    <w:basedOn w:val="DefaultParagraphFont"/>
    <w:uiPriority w:val="99"/>
    <w:semiHidden/>
    <w:unhideWhenUsed/>
    <w:rsid w:val="007C6CF8"/>
    <w:rPr>
      <w:color w:val="0000FF"/>
      <w:u w:val="single"/>
    </w:rPr>
  </w:style>
  <w:style w:type="paragraph" w:styleId="ListParagraph">
    <w:name w:val="List Paragraph"/>
    <w:basedOn w:val="Normal"/>
    <w:uiPriority w:val="34"/>
    <w:qFormat/>
    <w:rsid w:val="00B749AA"/>
    <w:pPr>
      <w:ind w:left="720"/>
      <w:contextualSpacing/>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6C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6CF8"/>
    <w:rPr>
      <w:b/>
      <w:bCs/>
    </w:rPr>
  </w:style>
  <w:style w:type="character" w:styleId="Hyperlink">
    <w:name w:val="Hyperlink"/>
    <w:basedOn w:val="DefaultParagraphFont"/>
    <w:uiPriority w:val="99"/>
    <w:semiHidden/>
    <w:unhideWhenUsed/>
    <w:rsid w:val="007C6CF8"/>
    <w:rPr>
      <w:color w:val="0000FF"/>
      <w:u w:val="single"/>
    </w:rPr>
  </w:style>
  <w:style w:type="paragraph" w:styleId="ListParagraph">
    <w:name w:val="List Paragraph"/>
    <w:basedOn w:val="Normal"/>
    <w:uiPriority w:val="34"/>
    <w:qFormat/>
    <w:rsid w:val="00B749AA"/>
    <w:pPr>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91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stp.gov/htm;/001207_3.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824</Words>
  <Characters>4700</Characters>
  <Application>Microsoft Office Word</Application>
  <DocSecurity>8</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Texas Woman's University</Company>
  <LinksUpToDate>false</LinksUpToDate>
  <CharactersWithSpaces>5513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Administrator</cp:lastModifiedBy>
  <cp:revision>6</cp:revision>
  <dcterms:created xsi:type="dcterms:W3CDTF">2013-01-28T21:36:00Z</dcterms:created>
  <dcterms:modified xsi:type="dcterms:W3CDTF">2013-09-04T16:10:00Z</dcterms:modified>
</cp:coreProperties>
</file>