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B71" w:rsidRDefault="000B47A6" w:rsidP="000B47A6">
      <w:pPr>
        <w:jc w:val="center"/>
        <w:rPr>
          <w:rFonts w:ascii="Arial" w:hAnsi="Arial" w:cs="Arial"/>
          <w:sz w:val="24"/>
          <w:szCs w:val="24"/>
        </w:rPr>
      </w:pPr>
      <w:bookmarkStart w:id="0" w:name="_GoBack"/>
      <w:bookmarkEnd w:id="0"/>
      <w:r w:rsidRPr="00E77920">
        <w:rPr>
          <w:rFonts w:ascii="Arial" w:hAnsi="Arial" w:cs="Arial"/>
          <w:sz w:val="24"/>
          <w:szCs w:val="24"/>
        </w:rPr>
        <w:t>Council for Educator Preparation</w:t>
      </w:r>
    </w:p>
    <w:p w:rsidR="009A6F5E" w:rsidRPr="00E77920" w:rsidRDefault="00E63B71" w:rsidP="000B47A6">
      <w:pPr>
        <w:jc w:val="center"/>
        <w:rPr>
          <w:rFonts w:ascii="Arial" w:hAnsi="Arial" w:cs="Arial"/>
          <w:sz w:val="24"/>
          <w:szCs w:val="24"/>
        </w:rPr>
      </w:pPr>
      <w:r>
        <w:rPr>
          <w:rFonts w:ascii="Arial" w:hAnsi="Arial" w:cs="Arial"/>
          <w:sz w:val="24"/>
          <w:szCs w:val="24"/>
        </w:rPr>
        <w:t xml:space="preserve">Meeting </w:t>
      </w:r>
      <w:r w:rsidR="000B47A6" w:rsidRPr="00E77920">
        <w:rPr>
          <w:rFonts w:ascii="Arial" w:hAnsi="Arial" w:cs="Arial"/>
          <w:sz w:val="24"/>
          <w:szCs w:val="24"/>
        </w:rPr>
        <w:t xml:space="preserve">Minutes </w:t>
      </w:r>
    </w:p>
    <w:p w:rsidR="000B47A6" w:rsidRPr="00E77920" w:rsidRDefault="000B47A6" w:rsidP="000B47A6">
      <w:pPr>
        <w:jc w:val="center"/>
        <w:rPr>
          <w:rFonts w:ascii="Arial" w:hAnsi="Arial" w:cs="Arial"/>
          <w:sz w:val="24"/>
          <w:szCs w:val="24"/>
        </w:rPr>
      </w:pPr>
      <w:r w:rsidRPr="00E77920">
        <w:rPr>
          <w:rFonts w:ascii="Arial" w:hAnsi="Arial" w:cs="Arial"/>
          <w:sz w:val="24"/>
          <w:szCs w:val="24"/>
        </w:rPr>
        <w:t>October 5, 2018</w:t>
      </w:r>
    </w:p>
    <w:p w:rsidR="000B47A6" w:rsidRPr="00E77920" w:rsidRDefault="000B47A6" w:rsidP="000B47A6">
      <w:pPr>
        <w:pStyle w:val="ListParagraph"/>
        <w:numPr>
          <w:ilvl w:val="0"/>
          <w:numId w:val="1"/>
        </w:numPr>
        <w:rPr>
          <w:rFonts w:ascii="Arial" w:hAnsi="Arial" w:cs="Arial"/>
          <w:sz w:val="24"/>
          <w:szCs w:val="24"/>
        </w:rPr>
      </w:pPr>
      <w:r w:rsidRPr="00E77920">
        <w:rPr>
          <w:rFonts w:ascii="Arial" w:hAnsi="Arial" w:cs="Arial"/>
          <w:sz w:val="24"/>
          <w:szCs w:val="24"/>
        </w:rPr>
        <w:t>Call to order and attendance</w:t>
      </w:r>
    </w:p>
    <w:p w:rsidR="000B47A6" w:rsidRPr="00E77920" w:rsidRDefault="000B47A6" w:rsidP="000B47A6">
      <w:pPr>
        <w:pStyle w:val="ListParagraph"/>
        <w:numPr>
          <w:ilvl w:val="0"/>
          <w:numId w:val="1"/>
        </w:numPr>
        <w:rPr>
          <w:rFonts w:ascii="Arial" w:hAnsi="Arial" w:cs="Arial"/>
          <w:sz w:val="24"/>
          <w:szCs w:val="24"/>
        </w:rPr>
      </w:pPr>
      <w:r w:rsidRPr="00E77920">
        <w:rPr>
          <w:rFonts w:ascii="Arial" w:hAnsi="Arial" w:cs="Arial"/>
          <w:sz w:val="24"/>
          <w:szCs w:val="24"/>
        </w:rPr>
        <w:t>Approval of Minutes</w:t>
      </w:r>
    </w:p>
    <w:p w:rsidR="000B47A6" w:rsidRPr="00E77920" w:rsidRDefault="000B47A6" w:rsidP="000B47A6">
      <w:pPr>
        <w:pStyle w:val="ListParagraph"/>
        <w:numPr>
          <w:ilvl w:val="1"/>
          <w:numId w:val="1"/>
        </w:numPr>
        <w:rPr>
          <w:rFonts w:ascii="Arial" w:hAnsi="Arial" w:cs="Arial"/>
          <w:sz w:val="24"/>
          <w:szCs w:val="24"/>
        </w:rPr>
      </w:pPr>
      <w:r w:rsidRPr="00E77920">
        <w:rPr>
          <w:rFonts w:ascii="Arial" w:hAnsi="Arial" w:cs="Arial"/>
          <w:sz w:val="24"/>
          <w:szCs w:val="24"/>
        </w:rPr>
        <w:t>Sarah made a motion to approve</w:t>
      </w:r>
    </w:p>
    <w:p w:rsidR="000B47A6" w:rsidRPr="00E77920" w:rsidRDefault="000B47A6" w:rsidP="000B47A6">
      <w:pPr>
        <w:pStyle w:val="ListParagraph"/>
        <w:numPr>
          <w:ilvl w:val="1"/>
          <w:numId w:val="1"/>
        </w:numPr>
        <w:rPr>
          <w:rFonts w:ascii="Arial" w:hAnsi="Arial" w:cs="Arial"/>
          <w:sz w:val="24"/>
          <w:szCs w:val="24"/>
        </w:rPr>
      </w:pPr>
      <w:r w:rsidRPr="00E77920">
        <w:rPr>
          <w:rFonts w:ascii="Arial" w:hAnsi="Arial" w:cs="Arial"/>
          <w:sz w:val="24"/>
          <w:szCs w:val="24"/>
        </w:rPr>
        <w:t>Ludovic seconded</w:t>
      </w:r>
    </w:p>
    <w:p w:rsidR="000B47A6" w:rsidRPr="00E77920" w:rsidRDefault="000B47A6" w:rsidP="000B47A6">
      <w:pPr>
        <w:pStyle w:val="ListParagraph"/>
        <w:numPr>
          <w:ilvl w:val="1"/>
          <w:numId w:val="1"/>
        </w:numPr>
        <w:rPr>
          <w:rFonts w:ascii="Arial" w:hAnsi="Arial" w:cs="Arial"/>
          <w:sz w:val="24"/>
          <w:szCs w:val="24"/>
        </w:rPr>
      </w:pPr>
      <w:r w:rsidRPr="00E77920">
        <w:rPr>
          <w:rFonts w:ascii="Arial" w:hAnsi="Arial" w:cs="Arial"/>
          <w:sz w:val="24"/>
          <w:szCs w:val="24"/>
        </w:rPr>
        <w:t xml:space="preserve">All approved </w:t>
      </w:r>
    </w:p>
    <w:p w:rsidR="000B47A6" w:rsidRPr="00E77920" w:rsidRDefault="000B47A6" w:rsidP="000B47A6">
      <w:pPr>
        <w:pStyle w:val="ListParagraph"/>
        <w:numPr>
          <w:ilvl w:val="0"/>
          <w:numId w:val="1"/>
        </w:numPr>
        <w:rPr>
          <w:rFonts w:ascii="Arial" w:hAnsi="Arial" w:cs="Arial"/>
          <w:sz w:val="24"/>
          <w:szCs w:val="24"/>
        </w:rPr>
      </w:pPr>
      <w:r w:rsidRPr="00E77920">
        <w:rPr>
          <w:rFonts w:ascii="Arial" w:hAnsi="Arial" w:cs="Arial"/>
          <w:sz w:val="24"/>
          <w:szCs w:val="24"/>
        </w:rPr>
        <w:t>Approval of Agenda</w:t>
      </w:r>
    </w:p>
    <w:p w:rsidR="000B47A6" w:rsidRPr="00E77920" w:rsidRDefault="000B47A6" w:rsidP="000B47A6">
      <w:pPr>
        <w:pStyle w:val="ListParagraph"/>
        <w:numPr>
          <w:ilvl w:val="1"/>
          <w:numId w:val="1"/>
        </w:numPr>
        <w:rPr>
          <w:rFonts w:ascii="Arial" w:hAnsi="Arial" w:cs="Arial"/>
          <w:sz w:val="24"/>
          <w:szCs w:val="24"/>
        </w:rPr>
      </w:pPr>
      <w:r w:rsidRPr="00E77920">
        <w:rPr>
          <w:rFonts w:ascii="Arial" w:hAnsi="Arial" w:cs="Arial"/>
          <w:sz w:val="24"/>
          <w:szCs w:val="24"/>
        </w:rPr>
        <w:t>Sarah made a motion to approve</w:t>
      </w:r>
    </w:p>
    <w:p w:rsidR="000B47A6" w:rsidRPr="00E77920" w:rsidRDefault="000B47A6" w:rsidP="000B47A6">
      <w:pPr>
        <w:pStyle w:val="ListParagraph"/>
        <w:numPr>
          <w:ilvl w:val="1"/>
          <w:numId w:val="1"/>
        </w:numPr>
        <w:rPr>
          <w:rFonts w:ascii="Arial" w:hAnsi="Arial" w:cs="Arial"/>
          <w:sz w:val="24"/>
          <w:szCs w:val="24"/>
        </w:rPr>
      </w:pPr>
      <w:r w:rsidRPr="00E77920">
        <w:rPr>
          <w:rFonts w:ascii="Arial" w:hAnsi="Arial" w:cs="Arial"/>
          <w:sz w:val="24"/>
          <w:szCs w:val="24"/>
        </w:rPr>
        <w:t xml:space="preserve">Karen seconded </w:t>
      </w:r>
    </w:p>
    <w:p w:rsidR="000B47A6" w:rsidRPr="00E77920" w:rsidRDefault="000B47A6" w:rsidP="000B47A6">
      <w:pPr>
        <w:pStyle w:val="ListParagraph"/>
        <w:numPr>
          <w:ilvl w:val="1"/>
          <w:numId w:val="1"/>
        </w:numPr>
        <w:rPr>
          <w:rFonts w:ascii="Arial" w:hAnsi="Arial" w:cs="Arial"/>
          <w:sz w:val="24"/>
          <w:szCs w:val="24"/>
        </w:rPr>
      </w:pPr>
      <w:r w:rsidRPr="00E77920">
        <w:rPr>
          <w:rFonts w:ascii="Arial" w:hAnsi="Arial" w:cs="Arial"/>
          <w:sz w:val="24"/>
          <w:szCs w:val="24"/>
        </w:rPr>
        <w:t xml:space="preserve">All approved </w:t>
      </w:r>
    </w:p>
    <w:p w:rsidR="000B47A6" w:rsidRPr="00E77920" w:rsidRDefault="000B47A6" w:rsidP="000B47A6">
      <w:pPr>
        <w:pStyle w:val="ListParagraph"/>
        <w:numPr>
          <w:ilvl w:val="0"/>
          <w:numId w:val="1"/>
        </w:numPr>
        <w:rPr>
          <w:rFonts w:ascii="Arial" w:hAnsi="Arial" w:cs="Arial"/>
          <w:sz w:val="24"/>
          <w:szCs w:val="24"/>
        </w:rPr>
      </w:pPr>
      <w:r w:rsidRPr="00E77920">
        <w:rPr>
          <w:rFonts w:ascii="Arial" w:hAnsi="Arial" w:cs="Arial"/>
          <w:sz w:val="24"/>
          <w:szCs w:val="24"/>
        </w:rPr>
        <w:t>Officer Reports</w:t>
      </w:r>
    </w:p>
    <w:p w:rsidR="000B47A6" w:rsidRPr="00E77920" w:rsidRDefault="000B47A6" w:rsidP="000B47A6">
      <w:pPr>
        <w:pStyle w:val="ListParagraph"/>
        <w:numPr>
          <w:ilvl w:val="1"/>
          <w:numId w:val="1"/>
        </w:numPr>
        <w:rPr>
          <w:rFonts w:ascii="Arial" w:hAnsi="Arial" w:cs="Arial"/>
          <w:sz w:val="24"/>
          <w:szCs w:val="24"/>
        </w:rPr>
      </w:pPr>
      <w:r w:rsidRPr="00E77920">
        <w:rPr>
          <w:rFonts w:ascii="Arial" w:hAnsi="Arial" w:cs="Arial"/>
          <w:sz w:val="24"/>
          <w:szCs w:val="24"/>
        </w:rPr>
        <w:t>Field experience and Clinical Practices Committee</w:t>
      </w:r>
    </w:p>
    <w:p w:rsidR="000B47A6" w:rsidRPr="00E77920" w:rsidRDefault="000B47A6" w:rsidP="000B47A6">
      <w:pPr>
        <w:pStyle w:val="ListParagraph"/>
        <w:numPr>
          <w:ilvl w:val="2"/>
          <w:numId w:val="1"/>
        </w:numPr>
        <w:rPr>
          <w:rFonts w:ascii="Arial" w:hAnsi="Arial" w:cs="Arial"/>
          <w:sz w:val="24"/>
          <w:szCs w:val="24"/>
        </w:rPr>
      </w:pPr>
      <w:r w:rsidRPr="00E77920">
        <w:rPr>
          <w:rFonts w:ascii="Arial" w:hAnsi="Arial" w:cs="Arial"/>
          <w:sz w:val="24"/>
          <w:szCs w:val="24"/>
        </w:rPr>
        <w:t>Drafted policy on Educational Aide Option in student teaching.</w:t>
      </w:r>
    </w:p>
    <w:p w:rsidR="000B47A6" w:rsidRPr="00E77920" w:rsidRDefault="000B47A6" w:rsidP="000B47A6">
      <w:pPr>
        <w:pStyle w:val="ListParagraph"/>
        <w:numPr>
          <w:ilvl w:val="3"/>
          <w:numId w:val="1"/>
        </w:numPr>
        <w:rPr>
          <w:rFonts w:ascii="Arial" w:hAnsi="Arial" w:cs="Arial"/>
          <w:sz w:val="24"/>
          <w:szCs w:val="24"/>
        </w:rPr>
      </w:pPr>
      <w:r w:rsidRPr="00E77920">
        <w:rPr>
          <w:rFonts w:ascii="Arial" w:hAnsi="Arial" w:cs="Arial"/>
          <w:sz w:val="24"/>
          <w:szCs w:val="24"/>
        </w:rPr>
        <w:t xml:space="preserve">B.1. statement: </w:t>
      </w:r>
      <w:r w:rsidRPr="00E77920">
        <w:rPr>
          <w:rFonts w:ascii="Arial" w:hAnsi="Arial" w:cs="Arial"/>
          <w:b/>
          <w:bCs/>
          <w:i/>
          <w:iCs/>
          <w:color w:val="000000"/>
          <w:sz w:val="24"/>
          <w:szCs w:val="24"/>
        </w:rPr>
        <w:t>“Clinical student teachers who hold a certified educational teacher’s aide certificate are required to complete CST requirements in the certification field being sought. CST will student teach in their certification area inclusive of their initial certification being sought.”</w:t>
      </w:r>
    </w:p>
    <w:p w:rsidR="000B47A6" w:rsidRPr="00E77920" w:rsidRDefault="000B47A6" w:rsidP="000B47A6">
      <w:pPr>
        <w:pStyle w:val="ListParagraph"/>
        <w:numPr>
          <w:ilvl w:val="4"/>
          <w:numId w:val="1"/>
        </w:numPr>
        <w:rPr>
          <w:rFonts w:ascii="Arial" w:hAnsi="Arial" w:cs="Arial"/>
          <w:sz w:val="24"/>
          <w:szCs w:val="24"/>
        </w:rPr>
      </w:pPr>
      <w:r w:rsidRPr="00E77920">
        <w:rPr>
          <w:rFonts w:ascii="Arial" w:hAnsi="Arial" w:cs="Arial"/>
          <w:sz w:val="24"/>
          <w:szCs w:val="24"/>
        </w:rPr>
        <w:t xml:space="preserve">Becky made a motion to approve the B.1. </w:t>
      </w:r>
      <w:proofErr w:type="gramStart"/>
      <w:r w:rsidRPr="00E77920">
        <w:rPr>
          <w:rFonts w:ascii="Arial" w:hAnsi="Arial" w:cs="Arial"/>
          <w:sz w:val="24"/>
          <w:szCs w:val="24"/>
        </w:rPr>
        <w:t>statement</w:t>
      </w:r>
      <w:proofErr w:type="gramEnd"/>
      <w:r w:rsidRPr="00E77920">
        <w:rPr>
          <w:rFonts w:ascii="Arial" w:hAnsi="Arial" w:cs="Arial"/>
          <w:sz w:val="24"/>
          <w:szCs w:val="24"/>
        </w:rPr>
        <w:t xml:space="preserve"> for the Education Aide Option in student teaching.</w:t>
      </w:r>
    </w:p>
    <w:p w:rsidR="000B47A6" w:rsidRPr="00E77920" w:rsidRDefault="000B47A6" w:rsidP="000B47A6">
      <w:pPr>
        <w:pStyle w:val="ListParagraph"/>
        <w:numPr>
          <w:ilvl w:val="4"/>
          <w:numId w:val="1"/>
        </w:numPr>
        <w:rPr>
          <w:rFonts w:ascii="Arial" w:hAnsi="Arial" w:cs="Arial"/>
          <w:sz w:val="24"/>
          <w:szCs w:val="24"/>
        </w:rPr>
      </w:pPr>
      <w:r w:rsidRPr="00E77920">
        <w:rPr>
          <w:rFonts w:ascii="Arial" w:hAnsi="Arial" w:cs="Arial"/>
          <w:sz w:val="24"/>
          <w:szCs w:val="24"/>
        </w:rPr>
        <w:t>Karen seconded the motion</w:t>
      </w:r>
    </w:p>
    <w:p w:rsidR="000B47A6" w:rsidRPr="00E77920" w:rsidRDefault="000B47A6" w:rsidP="000B47A6">
      <w:pPr>
        <w:pStyle w:val="ListParagraph"/>
        <w:numPr>
          <w:ilvl w:val="4"/>
          <w:numId w:val="1"/>
        </w:numPr>
        <w:rPr>
          <w:rFonts w:ascii="Arial" w:hAnsi="Arial" w:cs="Arial"/>
          <w:sz w:val="24"/>
          <w:szCs w:val="24"/>
        </w:rPr>
      </w:pPr>
      <w:r w:rsidRPr="00E77920">
        <w:rPr>
          <w:rFonts w:ascii="Arial" w:hAnsi="Arial" w:cs="Arial"/>
          <w:sz w:val="24"/>
          <w:szCs w:val="24"/>
        </w:rPr>
        <w:t xml:space="preserve">All approved </w:t>
      </w:r>
    </w:p>
    <w:p w:rsidR="000B47A6" w:rsidRPr="00E77920" w:rsidRDefault="000663CB" w:rsidP="000B47A6">
      <w:pPr>
        <w:pStyle w:val="ListParagraph"/>
        <w:numPr>
          <w:ilvl w:val="2"/>
          <w:numId w:val="1"/>
        </w:numPr>
        <w:rPr>
          <w:rFonts w:ascii="Arial" w:hAnsi="Arial" w:cs="Arial"/>
          <w:sz w:val="24"/>
          <w:szCs w:val="24"/>
        </w:rPr>
      </w:pPr>
      <w:r w:rsidRPr="00E77920">
        <w:rPr>
          <w:rFonts w:ascii="Arial" w:hAnsi="Arial" w:cs="Arial"/>
          <w:sz w:val="24"/>
          <w:szCs w:val="24"/>
        </w:rPr>
        <w:t>Drafted clarification statement on policy and procedures via student teachers. The following statement will be included in syllabi.</w:t>
      </w:r>
    </w:p>
    <w:p w:rsidR="000663CB" w:rsidRPr="00E77920" w:rsidRDefault="000663CB" w:rsidP="000663CB">
      <w:pPr>
        <w:pStyle w:val="ListParagraph"/>
        <w:numPr>
          <w:ilvl w:val="3"/>
          <w:numId w:val="1"/>
        </w:numPr>
        <w:rPr>
          <w:rFonts w:ascii="Arial" w:hAnsi="Arial" w:cs="Arial"/>
          <w:sz w:val="24"/>
          <w:szCs w:val="24"/>
        </w:rPr>
      </w:pPr>
      <w:r w:rsidRPr="00E77920">
        <w:rPr>
          <w:rFonts w:ascii="Arial" w:hAnsi="Arial" w:cs="Arial"/>
          <w:i/>
          <w:iCs/>
          <w:color w:val="000000"/>
          <w:sz w:val="24"/>
          <w:szCs w:val="24"/>
        </w:rPr>
        <w:t>“Students enrolled in the following classes (EDUC 4123, 4113,5113, 5123, 5131, 5133, 5143, and 5173; READ 5223, 5543; COMS 5403, 5663, 5683 , 5303, 5023, 5513, 5853, 5783, 5123) are notified of the Clinical Student Teaching application and process. Departments in which these courses are housed will ensure that information regarding the process is listed in the syllabus. Applications for Clinical Student Teaching are due October 1 or March 1 of the academic year. If a student fails to meet the deadline, they must complete the TWU</w:t>
      </w:r>
      <w:hyperlink r:id="rId5" w:history="1">
        <w:r w:rsidRPr="00E77920">
          <w:rPr>
            <w:rStyle w:val="Hyperlink"/>
            <w:rFonts w:ascii="Arial" w:hAnsi="Arial" w:cs="Arial"/>
            <w:i/>
            <w:iCs/>
            <w:color w:val="000000"/>
            <w:sz w:val="24"/>
            <w:szCs w:val="24"/>
          </w:rPr>
          <w:t xml:space="preserve"> </w:t>
        </w:r>
        <w:r w:rsidRPr="00E77920">
          <w:rPr>
            <w:rStyle w:val="Hyperlink"/>
            <w:rFonts w:ascii="Arial" w:hAnsi="Arial" w:cs="Arial"/>
            <w:i/>
            <w:iCs/>
            <w:color w:val="1155CC"/>
            <w:sz w:val="24"/>
            <w:szCs w:val="24"/>
          </w:rPr>
          <w:t>EPP Appeal Process”</w:t>
        </w:r>
      </w:hyperlink>
      <w:r w:rsidRPr="00E77920">
        <w:rPr>
          <w:rFonts w:ascii="Arial" w:hAnsi="Arial" w:cs="Arial"/>
          <w:i/>
          <w:iCs/>
          <w:color w:val="000000"/>
          <w:sz w:val="24"/>
          <w:szCs w:val="24"/>
        </w:rPr>
        <w:t>. Following the outcome of the appeal, the student may incur a $50 late fee”</w:t>
      </w:r>
    </w:p>
    <w:p w:rsidR="000663CB" w:rsidRPr="00E77920" w:rsidRDefault="000663CB" w:rsidP="000663CB">
      <w:pPr>
        <w:pStyle w:val="ListParagraph"/>
        <w:numPr>
          <w:ilvl w:val="4"/>
          <w:numId w:val="1"/>
        </w:numPr>
        <w:rPr>
          <w:rFonts w:ascii="Arial" w:hAnsi="Arial" w:cs="Arial"/>
          <w:sz w:val="24"/>
          <w:szCs w:val="24"/>
        </w:rPr>
      </w:pPr>
      <w:r w:rsidRPr="00E77920">
        <w:rPr>
          <w:rFonts w:ascii="Arial" w:hAnsi="Arial" w:cs="Arial"/>
          <w:iCs/>
          <w:color w:val="000000"/>
          <w:sz w:val="24"/>
          <w:szCs w:val="24"/>
        </w:rPr>
        <w:t>Becky made a motion to approve the student teaching policy.</w:t>
      </w:r>
    </w:p>
    <w:p w:rsidR="000663CB" w:rsidRPr="00E77920" w:rsidRDefault="000663CB" w:rsidP="000663CB">
      <w:pPr>
        <w:pStyle w:val="ListParagraph"/>
        <w:numPr>
          <w:ilvl w:val="4"/>
          <w:numId w:val="1"/>
        </w:numPr>
        <w:rPr>
          <w:rFonts w:ascii="Arial" w:hAnsi="Arial" w:cs="Arial"/>
          <w:sz w:val="24"/>
          <w:szCs w:val="24"/>
        </w:rPr>
      </w:pPr>
      <w:r w:rsidRPr="00E77920">
        <w:rPr>
          <w:rFonts w:ascii="Arial" w:hAnsi="Arial" w:cs="Arial"/>
          <w:iCs/>
          <w:color w:val="000000"/>
          <w:sz w:val="24"/>
          <w:szCs w:val="24"/>
        </w:rPr>
        <w:lastRenderedPageBreak/>
        <w:t>Karen seconded the motion</w:t>
      </w:r>
    </w:p>
    <w:p w:rsidR="000663CB" w:rsidRPr="00E77920" w:rsidRDefault="000663CB" w:rsidP="000663CB">
      <w:pPr>
        <w:pStyle w:val="ListParagraph"/>
        <w:numPr>
          <w:ilvl w:val="4"/>
          <w:numId w:val="1"/>
        </w:numPr>
        <w:rPr>
          <w:rFonts w:ascii="Arial" w:hAnsi="Arial" w:cs="Arial"/>
          <w:sz w:val="24"/>
          <w:szCs w:val="24"/>
        </w:rPr>
      </w:pPr>
      <w:r w:rsidRPr="00E77920">
        <w:rPr>
          <w:rFonts w:ascii="Arial" w:hAnsi="Arial" w:cs="Arial"/>
          <w:iCs/>
          <w:color w:val="000000"/>
          <w:sz w:val="24"/>
          <w:szCs w:val="24"/>
        </w:rPr>
        <w:t xml:space="preserve">All approved the motion </w:t>
      </w:r>
    </w:p>
    <w:p w:rsidR="007D2A1F" w:rsidRPr="00E77920" w:rsidRDefault="007D2A1F" w:rsidP="007D2A1F">
      <w:pPr>
        <w:pStyle w:val="ListParagraph"/>
        <w:numPr>
          <w:ilvl w:val="2"/>
          <w:numId w:val="1"/>
        </w:numPr>
        <w:rPr>
          <w:rFonts w:ascii="Arial" w:hAnsi="Arial" w:cs="Arial"/>
          <w:sz w:val="24"/>
          <w:szCs w:val="24"/>
        </w:rPr>
      </w:pPr>
      <w:r w:rsidRPr="00E77920">
        <w:rPr>
          <w:rFonts w:ascii="Arial" w:hAnsi="Arial" w:cs="Arial"/>
          <w:iCs/>
          <w:color w:val="000000"/>
          <w:sz w:val="24"/>
          <w:szCs w:val="24"/>
        </w:rPr>
        <w:t xml:space="preserve">Working on digital literacy policy. </w:t>
      </w:r>
    </w:p>
    <w:p w:rsidR="000663CB" w:rsidRPr="00E77920" w:rsidRDefault="00CE0F38" w:rsidP="000663CB">
      <w:pPr>
        <w:pStyle w:val="ListParagraph"/>
        <w:numPr>
          <w:ilvl w:val="1"/>
          <w:numId w:val="1"/>
        </w:numPr>
        <w:rPr>
          <w:rFonts w:ascii="Arial" w:hAnsi="Arial" w:cs="Arial"/>
          <w:sz w:val="24"/>
          <w:szCs w:val="24"/>
        </w:rPr>
      </w:pPr>
      <w:r w:rsidRPr="00E77920">
        <w:rPr>
          <w:rFonts w:ascii="Arial" w:hAnsi="Arial" w:cs="Arial"/>
          <w:iCs/>
          <w:color w:val="000000"/>
          <w:sz w:val="24"/>
          <w:szCs w:val="24"/>
        </w:rPr>
        <w:t>Education Student Affairs Committee</w:t>
      </w:r>
    </w:p>
    <w:p w:rsidR="00CE0F38" w:rsidRPr="00E77920" w:rsidRDefault="00CE0F38" w:rsidP="00CE0F38">
      <w:pPr>
        <w:pStyle w:val="NormalWeb"/>
        <w:numPr>
          <w:ilvl w:val="2"/>
          <w:numId w:val="1"/>
        </w:numPr>
        <w:shd w:val="clear" w:color="auto" w:fill="FFFFFF"/>
        <w:spacing w:before="0" w:beforeAutospacing="0" w:after="0" w:afterAutospacing="0"/>
        <w:textAlignment w:val="baseline"/>
        <w:rPr>
          <w:rFonts w:ascii="Arial" w:hAnsi="Arial" w:cs="Arial"/>
          <w:color w:val="000000"/>
        </w:rPr>
      </w:pPr>
      <w:r w:rsidRPr="00E77920">
        <w:rPr>
          <w:rFonts w:ascii="Arial" w:hAnsi="Arial" w:cs="Arial"/>
          <w:color w:val="000000"/>
          <w:shd w:val="clear" w:color="auto" w:fill="FFFFFF"/>
        </w:rPr>
        <w:t xml:space="preserve">Testing Policy for Professional Certs is </w:t>
      </w:r>
      <w:hyperlink r:id="rId6" w:history="1">
        <w:r w:rsidRPr="00E77920">
          <w:rPr>
            <w:rStyle w:val="Hyperlink"/>
            <w:rFonts w:ascii="Arial" w:hAnsi="Arial" w:cs="Arial"/>
            <w:color w:val="1155CC"/>
            <w:shd w:val="clear" w:color="auto" w:fill="FFFFFF"/>
          </w:rPr>
          <w:t>live</w:t>
        </w:r>
      </w:hyperlink>
    </w:p>
    <w:p w:rsidR="00CE0F38" w:rsidRPr="00E77920" w:rsidRDefault="00CE0F38" w:rsidP="00CE0F38">
      <w:pPr>
        <w:pStyle w:val="ListParagraph"/>
        <w:numPr>
          <w:ilvl w:val="2"/>
          <w:numId w:val="1"/>
        </w:numPr>
        <w:rPr>
          <w:rFonts w:ascii="Arial" w:hAnsi="Arial" w:cs="Arial"/>
          <w:sz w:val="24"/>
          <w:szCs w:val="24"/>
        </w:rPr>
      </w:pPr>
      <w:r w:rsidRPr="00E77920">
        <w:rPr>
          <w:rFonts w:ascii="Arial" w:hAnsi="Arial" w:cs="Arial"/>
          <w:sz w:val="24"/>
          <w:szCs w:val="24"/>
        </w:rPr>
        <w:t>Blocking ELDR course access unless student is enrolled in principal certification program; can override after double checking. Will be doing the same for EDSP 5833 and EDSP 5843</w:t>
      </w:r>
      <w:r w:rsidR="002A6555" w:rsidRPr="00E77920">
        <w:rPr>
          <w:rFonts w:ascii="Arial" w:hAnsi="Arial" w:cs="Arial"/>
          <w:sz w:val="24"/>
          <w:szCs w:val="24"/>
        </w:rPr>
        <w:t>.</w:t>
      </w:r>
    </w:p>
    <w:p w:rsidR="002A6555" w:rsidRPr="00E77920" w:rsidRDefault="002A6555" w:rsidP="002A6555">
      <w:pPr>
        <w:pStyle w:val="ListParagraph"/>
        <w:numPr>
          <w:ilvl w:val="1"/>
          <w:numId w:val="1"/>
        </w:numPr>
        <w:rPr>
          <w:rFonts w:ascii="Arial" w:hAnsi="Arial" w:cs="Arial"/>
          <w:sz w:val="24"/>
          <w:szCs w:val="24"/>
        </w:rPr>
      </w:pPr>
      <w:r w:rsidRPr="00E77920">
        <w:rPr>
          <w:rFonts w:ascii="Arial" w:hAnsi="Arial" w:cs="Arial"/>
          <w:sz w:val="24"/>
          <w:szCs w:val="24"/>
        </w:rPr>
        <w:t>Academic Programs</w:t>
      </w:r>
    </w:p>
    <w:p w:rsidR="002A6555" w:rsidRPr="00E77920" w:rsidRDefault="002A6555" w:rsidP="002A6555">
      <w:pPr>
        <w:pStyle w:val="ListParagraph"/>
        <w:numPr>
          <w:ilvl w:val="2"/>
          <w:numId w:val="1"/>
        </w:numPr>
        <w:rPr>
          <w:rFonts w:ascii="Arial" w:hAnsi="Arial" w:cs="Arial"/>
          <w:sz w:val="24"/>
          <w:szCs w:val="24"/>
        </w:rPr>
      </w:pPr>
      <w:r w:rsidRPr="00E77920">
        <w:rPr>
          <w:rFonts w:ascii="Arial" w:hAnsi="Arial" w:cs="Arial"/>
          <w:sz w:val="24"/>
          <w:szCs w:val="24"/>
        </w:rPr>
        <w:t xml:space="preserve">Worked with different programs on getting their matrix ready. </w:t>
      </w:r>
    </w:p>
    <w:p w:rsidR="002A6555" w:rsidRPr="00E77920" w:rsidRDefault="002A6555" w:rsidP="002A6555">
      <w:pPr>
        <w:pStyle w:val="ListParagraph"/>
        <w:numPr>
          <w:ilvl w:val="2"/>
          <w:numId w:val="1"/>
        </w:numPr>
        <w:rPr>
          <w:rFonts w:ascii="Arial" w:hAnsi="Arial" w:cs="Arial"/>
          <w:sz w:val="24"/>
          <w:szCs w:val="24"/>
        </w:rPr>
      </w:pPr>
      <w:r w:rsidRPr="00E77920">
        <w:rPr>
          <w:rFonts w:ascii="Arial" w:hAnsi="Arial" w:cs="Arial"/>
          <w:sz w:val="24"/>
          <w:szCs w:val="24"/>
        </w:rPr>
        <w:t>Still waiting on data</w:t>
      </w:r>
    </w:p>
    <w:p w:rsidR="002A6555" w:rsidRPr="00E77920" w:rsidRDefault="002A6555" w:rsidP="002A6555">
      <w:pPr>
        <w:pStyle w:val="ListParagraph"/>
        <w:numPr>
          <w:ilvl w:val="1"/>
          <w:numId w:val="1"/>
        </w:numPr>
        <w:rPr>
          <w:rFonts w:ascii="Arial" w:hAnsi="Arial" w:cs="Arial"/>
          <w:sz w:val="24"/>
          <w:szCs w:val="24"/>
        </w:rPr>
      </w:pPr>
      <w:r w:rsidRPr="00E77920">
        <w:rPr>
          <w:rFonts w:ascii="Arial" w:hAnsi="Arial" w:cs="Arial"/>
          <w:sz w:val="24"/>
          <w:szCs w:val="24"/>
        </w:rPr>
        <w:t>Dean’s Report</w:t>
      </w:r>
    </w:p>
    <w:p w:rsidR="002A6555" w:rsidRPr="00E77920" w:rsidRDefault="002A6555" w:rsidP="002A6555">
      <w:pPr>
        <w:pStyle w:val="ListParagraph"/>
        <w:numPr>
          <w:ilvl w:val="2"/>
          <w:numId w:val="1"/>
        </w:numPr>
        <w:rPr>
          <w:rFonts w:ascii="Arial" w:hAnsi="Arial" w:cs="Arial"/>
          <w:sz w:val="24"/>
          <w:szCs w:val="24"/>
        </w:rPr>
      </w:pPr>
      <w:r w:rsidRPr="00E77920">
        <w:rPr>
          <w:rFonts w:ascii="Arial" w:hAnsi="Arial" w:cs="Arial"/>
          <w:sz w:val="24"/>
          <w:szCs w:val="24"/>
        </w:rPr>
        <w:t>Making connection to external stakeholders</w:t>
      </w:r>
    </w:p>
    <w:p w:rsidR="002A6555" w:rsidRPr="00E77920" w:rsidRDefault="002A6555" w:rsidP="002A6555">
      <w:pPr>
        <w:pStyle w:val="ListParagraph"/>
        <w:numPr>
          <w:ilvl w:val="1"/>
          <w:numId w:val="1"/>
        </w:numPr>
        <w:rPr>
          <w:rFonts w:ascii="Arial" w:hAnsi="Arial" w:cs="Arial"/>
          <w:sz w:val="24"/>
          <w:szCs w:val="24"/>
        </w:rPr>
      </w:pPr>
      <w:r w:rsidRPr="00E77920">
        <w:rPr>
          <w:rFonts w:ascii="Arial" w:hAnsi="Arial" w:cs="Arial"/>
          <w:sz w:val="24"/>
          <w:szCs w:val="24"/>
        </w:rPr>
        <w:t>Chair/Vice Chair Report</w:t>
      </w:r>
    </w:p>
    <w:p w:rsidR="002A6555" w:rsidRPr="00E77920" w:rsidRDefault="002A6555" w:rsidP="002A6555">
      <w:pPr>
        <w:pStyle w:val="ListParagraph"/>
        <w:numPr>
          <w:ilvl w:val="2"/>
          <w:numId w:val="1"/>
        </w:numPr>
        <w:rPr>
          <w:rFonts w:ascii="Arial" w:hAnsi="Arial" w:cs="Arial"/>
          <w:sz w:val="24"/>
          <w:szCs w:val="24"/>
        </w:rPr>
      </w:pPr>
      <w:r w:rsidRPr="00E77920">
        <w:rPr>
          <w:rFonts w:ascii="Arial" w:hAnsi="Arial" w:cs="Arial"/>
          <w:sz w:val="24"/>
          <w:szCs w:val="24"/>
        </w:rPr>
        <w:t>Making connection to external stakeholders</w:t>
      </w:r>
    </w:p>
    <w:p w:rsidR="001A7071" w:rsidRPr="00E77920" w:rsidRDefault="001A7071" w:rsidP="001A7071">
      <w:pPr>
        <w:pStyle w:val="ListParagraph"/>
        <w:numPr>
          <w:ilvl w:val="1"/>
          <w:numId w:val="1"/>
        </w:numPr>
        <w:rPr>
          <w:rFonts w:ascii="Arial" w:hAnsi="Arial" w:cs="Arial"/>
          <w:sz w:val="24"/>
          <w:szCs w:val="24"/>
        </w:rPr>
      </w:pPr>
      <w:r w:rsidRPr="00E77920">
        <w:rPr>
          <w:rFonts w:ascii="Arial" w:hAnsi="Arial" w:cs="Arial"/>
          <w:sz w:val="24"/>
          <w:szCs w:val="24"/>
        </w:rPr>
        <w:t>Director’s Reports</w:t>
      </w:r>
    </w:p>
    <w:p w:rsidR="001A7071" w:rsidRPr="00E77920" w:rsidRDefault="001A7071" w:rsidP="001A7071">
      <w:pPr>
        <w:pStyle w:val="ListParagraph"/>
        <w:numPr>
          <w:ilvl w:val="2"/>
          <w:numId w:val="1"/>
        </w:numPr>
        <w:rPr>
          <w:rFonts w:ascii="Arial" w:hAnsi="Arial" w:cs="Arial"/>
          <w:sz w:val="24"/>
          <w:szCs w:val="24"/>
        </w:rPr>
      </w:pPr>
      <w:r w:rsidRPr="00E77920">
        <w:rPr>
          <w:rFonts w:ascii="Arial" w:hAnsi="Arial" w:cs="Arial"/>
          <w:sz w:val="24"/>
          <w:szCs w:val="24"/>
        </w:rPr>
        <w:t xml:space="preserve">Michelle spoke on how helpful the statement on student teaching deadlines will be for her office. </w:t>
      </w:r>
    </w:p>
    <w:p w:rsidR="001A7071" w:rsidRPr="00E77920" w:rsidRDefault="001A7071" w:rsidP="001A7071">
      <w:pPr>
        <w:pStyle w:val="ListParagraph"/>
        <w:numPr>
          <w:ilvl w:val="0"/>
          <w:numId w:val="1"/>
        </w:numPr>
        <w:rPr>
          <w:rFonts w:ascii="Arial" w:hAnsi="Arial" w:cs="Arial"/>
          <w:sz w:val="24"/>
          <w:szCs w:val="24"/>
        </w:rPr>
      </w:pPr>
      <w:r w:rsidRPr="00E77920">
        <w:rPr>
          <w:rFonts w:ascii="Arial" w:hAnsi="Arial" w:cs="Arial"/>
          <w:sz w:val="24"/>
          <w:szCs w:val="24"/>
        </w:rPr>
        <w:t>Business</w:t>
      </w:r>
    </w:p>
    <w:p w:rsidR="001A7071" w:rsidRPr="00E77920" w:rsidRDefault="001A7071" w:rsidP="001A7071">
      <w:pPr>
        <w:pStyle w:val="ListParagraph"/>
        <w:numPr>
          <w:ilvl w:val="1"/>
          <w:numId w:val="1"/>
        </w:numPr>
        <w:rPr>
          <w:rFonts w:ascii="Arial" w:hAnsi="Arial" w:cs="Arial"/>
          <w:sz w:val="24"/>
          <w:szCs w:val="24"/>
        </w:rPr>
      </w:pPr>
      <w:r w:rsidRPr="00E77920">
        <w:rPr>
          <w:rFonts w:ascii="Arial" w:hAnsi="Arial" w:cs="Arial"/>
          <w:sz w:val="24"/>
          <w:szCs w:val="24"/>
        </w:rPr>
        <w:t>Old Business</w:t>
      </w:r>
    </w:p>
    <w:p w:rsidR="001A7071" w:rsidRPr="00E77920" w:rsidRDefault="00656047" w:rsidP="001A7071">
      <w:pPr>
        <w:pStyle w:val="NormalWeb"/>
        <w:numPr>
          <w:ilvl w:val="2"/>
          <w:numId w:val="1"/>
        </w:numPr>
        <w:shd w:val="clear" w:color="auto" w:fill="FFFFFF"/>
        <w:spacing w:before="0" w:beforeAutospacing="0" w:after="0" w:afterAutospacing="0"/>
        <w:textAlignment w:val="baseline"/>
        <w:rPr>
          <w:rFonts w:ascii="Arial" w:hAnsi="Arial" w:cs="Arial"/>
          <w:color w:val="000000"/>
        </w:rPr>
      </w:pPr>
      <w:hyperlink r:id="rId7" w:history="1">
        <w:r w:rsidR="001A7071" w:rsidRPr="00E77920">
          <w:rPr>
            <w:rStyle w:val="Hyperlink"/>
            <w:rFonts w:ascii="Arial" w:hAnsi="Arial" w:cs="Arial"/>
            <w:color w:val="1155CC"/>
            <w:u w:val="none"/>
            <w:shd w:val="clear" w:color="auto" w:fill="FFFFFF"/>
          </w:rPr>
          <w:t>CEP By-laws</w:t>
        </w:r>
      </w:hyperlink>
      <w:r w:rsidR="001A7071" w:rsidRPr="00E77920">
        <w:rPr>
          <w:rFonts w:ascii="Arial" w:hAnsi="Arial" w:cs="Arial"/>
          <w:color w:val="000000"/>
        </w:rPr>
        <w:t xml:space="preserve"> are online</w:t>
      </w:r>
    </w:p>
    <w:p w:rsidR="001A7071" w:rsidRPr="00E77920" w:rsidRDefault="001A7071" w:rsidP="001A7071">
      <w:pPr>
        <w:pStyle w:val="NormalWeb"/>
        <w:numPr>
          <w:ilvl w:val="3"/>
          <w:numId w:val="1"/>
        </w:numPr>
        <w:shd w:val="clear" w:color="auto" w:fill="FFFFFF"/>
        <w:spacing w:before="0" w:beforeAutospacing="0" w:after="0" w:afterAutospacing="0"/>
        <w:textAlignment w:val="baseline"/>
        <w:rPr>
          <w:rFonts w:ascii="Arial" w:hAnsi="Arial" w:cs="Arial"/>
          <w:color w:val="000000"/>
        </w:rPr>
      </w:pPr>
      <w:r w:rsidRPr="00E77920">
        <w:rPr>
          <w:rFonts w:ascii="Arial" w:hAnsi="Arial" w:cs="Arial"/>
          <w:color w:val="000000"/>
          <w:shd w:val="clear" w:color="auto" w:fill="FFFFFF"/>
        </w:rPr>
        <w:t xml:space="preserve">CEP Executive Committee met on October 1st at 9:00am to work on Bylaws and all CEP members will be emailed the Bylaws to review and recommend changes.  A vote to approve the By-laws will occur in November. </w:t>
      </w:r>
    </w:p>
    <w:p w:rsidR="001A7071" w:rsidRPr="00E77920" w:rsidRDefault="001A7071" w:rsidP="001A7071">
      <w:pPr>
        <w:pStyle w:val="NormalWeb"/>
        <w:numPr>
          <w:ilvl w:val="1"/>
          <w:numId w:val="1"/>
        </w:numPr>
        <w:shd w:val="clear" w:color="auto" w:fill="FFFFFF"/>
        <w:spacing w:before="0" w:beforeAutospacing="0" w:after="0" w:afterAutospacing="0"/>
        <w:textAlignment w:val="baseline"/>
        <w:rPr>
          <w:rFonts w:ascii="Arial" w:hAnsi="Arial" w:cs="Arial"/>
          <w:color w:val="000000"/>
        </w:rPr>
      </w:pPr>
      <w:r w:rsidRPr="00E77920">
        <w:rPr>
          <w:rFonts w:ascii="Arial" w:hAnsi="Arial" w:cs="Arial"/>
          <w:color w:val="000000"/>
        </w:rPr>
        <w:t xml:space="preserve">New Business </w:t>
      </w:r>
    </w:p>
    <w:p w:rsidR="001A7071" w:rsidRPr="00E77920" w:rsidRDefault="001A7071" w:rsidP="001A7071">
      <w:pPr>
        <w:pStyle w:val="NormalWeb"/>
        <w:numPr>
          <w:ilvl w:val="2"/>
          <w:numId w:val="1"/>
        </w:numPr>
        <w:shd w:val="clear" w:color="auto" w:fill="FFFFFF"/>
        <w:spacing w:before="0" w:beforeAutospacing="0" w:after="0" w:afterAutospacing="0"/>
        <w:textAlignment w:val="baseline"/>
        <w:rPr>
          <w:rFonts w:ascii="Arial" w:hAnsi="Arial" w:cs="Arial"/>
          <w:color w:val="000000"/>
        </w:rPr>
      </w:pPr>
      <w:r w:rsidRPr="00E77920">
        <w:rPr>
          <w:rFonts w:ascii="Arial" w:hAnsi="Arial" w:cs="Arial"/>
          <w:color w:val="000000"/>
        </w:rPr>
        <w:t>TEA- SBEC Meeting today</w:t>
      </w:r>
    </w:p>
    <w:p w:rsidR="001A7071" w:rsidRPr="00E77920" w:rsidRDefault="001A7071" w:rsidP="001A7071">
      <w:pPr>
        <w:pStyle w:val="NormalWeb"/>
        <w:numPr>
          <w:ilvl w:val="3"/>
          <w:numId w:val="1"/>
        </w:numPr>
        <w:shd w:val="clear" w:color="auto" w:fill="FFFFFF"/>
        <w:spacing w:before="0" w:beforeAutospacing="0" w:after="0" w:afterAutospacing="0"/>
        <w:textAlignment w:val="baseline"/>
        <w:rPr>
          <w:rFonts w:ascii="Arial" w:hAnsi="Arial" w:cs="Arial"/>
          <w:color w:val="000000"/>
        </w:rPr>
      </w:pPr>
      <w:r w:rsidRPr="00E77920">
        <w:rPr>
          <w:rFonts w:ascii="Arial" w:hAnsi="Arial" w:cs="Arial"/>
          <w:color w:val="000000"/>
        </w:rPr>
        <w:t>TEA decided that the passing rate for all initial certifications will continue to go up to 90%. This year, the pass rate is 80%. Next year it will be 85%, the next year will be 90%. There was not an opportunity for discussion at the TEA meeting.</w:t>
      </w:r>
    </w:p>
    <w:p w:rsidR="006C43B3" w:rsidRPr="00E77920" w:rsidRDefault="006C43B3" w:rsidP="006C43B3">
      <w:pPr>
        <w:pStyle w:val="NormalWeb"/>
        <w:numPr>
          <w:ilvl w:val="1"/>
          <w:numId w:val="1"/>
        </w:numPr>
        <w:shd w:val="clear" w:color="auto" w:fill="FFFFFF"/>
        <w:spacing w:before="0" w:beforeAutospacing="0" w:after="0" w:afterAutospacing="0"/>
        <w:textAlignment w:val="baseline"/>
        <w:rPr>
          <w:rFonts w:ascii="Arial" w:hAnsi="Arial" w:cs="Arial"/>
          <w:color w:val="000000"/>
        </w:rPr>
      </w:pPr>
      <w:r w:rsidRPr="00E77920">
        <w:rPr>
          <w:rFonts w:ascii="Arial" w:hAnsi="Arial" w:cs="Arial"/>
          <w:color w:val="000000"/>
        </w:rPr>
        <w:t>Post- TEA Audit Reflection</w:t>
      </w:r>
    </w:p>
    <w:p w:rsidR="006C43B3" w:rsidRPr="00E77920" w:rsidRDefault="006C43B3" w:rsidP="006C43B3">
      <w:pPr>
        <w:pStyle w:val="NormalWeb"/>
        <w:numPr>
          <w:ilvl w:val="2"/>
          <w:numId w:val="1"/>
        </w:numPr>
        <w:shd w:val="clear" w:color="auto" w:fill="FFFFFF"/>
        <w:spacing w:before="0" w:beforeAutospacing="0" w:after="0" w:afterAutospacing="0"/>
        <w:textAlignment w:val="baseline"/>
        <w:rPr>
          <w:rFonts w:ascii="Arial" w:hAnsi="Arial" w:cs="Arial"/>
          <w:color w:val="000000"/>
        </w:rPr>
      </w:pPr>
      <w:r w:rsidRPr="00E77920">
        <w:rPr>
          <w:rFonts w:ascii="Arial" w:hAnsi="Arial" w:cs="Arial"/>
          <w:color w:val="000000"/>
        </w:rPr>
        <w:t xml:space="preserve">We submitted the audit on August 27. 2018 and TEA was appreciative that it was submitted it early. We will most likely get the results in spring. We need to stay in the habit of continuous improvement. Everything we do must be in compliance with TEA. </w:t>
      </w:r>
    </w:p>
    <w:p w:rsidR="006C43B3" w:rsidRPr="00E77920" w:rsidRDefault="006C43B3" w:rsidP="006C43B3">
      <w:pPr>
        <w:pStyle w:val="NormalWeb"/>
        <w:numPr>
          <w:ilvl w:val="2"/>
          <w:numId w:val="1"/>
        </w:numPr>
        <w:shd w:val="clear" w:color="auto" w:fill="FFFFFF"/>
        <w:spacing w:before="0" w:beforeAutospacing="0" w:after="0" w:afterAutospacing="0"/>
        <w:textAlignment w:val="baseline"/>
        <w:rPr>
          <w:rFonts w:ascii="Arial" w:hAnsi="Arial" w:cs="Arial"/>
          <w:color w:val="000000"/>
        </w:rPr>
      </w:pPr>
      <w:r w:rsidRPr="00E77920">
        <w:rPr>
          <w:rFonts w:ascii="Arial" w:hAnsi="Arial" w:cs="Arial"/>
          <w:color w:val="000000"/>
        </w:rPr>
        <w:t>Bench</w:t>
      </w:r>
      <w:r w:rsidR="00757E95" w:rsidRPr="00E77920">
        <w:rPr>
          <w:rFonts w:ascii="Arial" w:hAnsi="Arial" w:cs="Arial"/>
          <w:color w:val="000000"/>
        </w:rPr>
        <w:t>marks alignment with transcript</w:t>
      </w:r>
    </w:p>
    <w:p w:rsidR="00757E95" w:rsidRPr="00E77920" w:rsidRDefault="00757E95" w:rsidP="00757E95">
      <w:pPr>
        <w:pStyle w:val="NormalWeb"/>
        <w:numPr>
          <w:ilvl w:val="3"/>
          <w:numId w:val="1"/>
        </w:numPr>
        <w:shd w:val="clear" w:color="auto" w:fill="FFFFFF"/>
        <w:spacing w:before="0" w:beforeAutospacing="0" w:after="0" w:afterAutospacing="0"/>
        <w:textAlignment w:val="baseline"/>
        <w:rPr>
          <w:rFonts w:ascii="Arial" w:hAnsi="Arial" w:cs="Arial"/>
          <w:color w:val="000000"/>
        </w:rPr>
      </w:pPr>
      <w:r w:rsidRPr="00E77920">
        <w:rPr>
          <w:rFonts w:ascii="Arial" w:hAnsi="Arial" w:cs="Arial"/>
          <w:color w:val="000000"/>
        </w:rPr>
        <w:t>Formal admission – professional certification</w:t>
      </w:r>
    </w:p>
    <w:p w:rsidR="00757E95" w:rsidRPr="00E77920" w:rsidRDefault="00757E95" w:rsidP="00757E95">
      <w:pPr>
        <w:pStyle w:val="NormalWeb"/>
        <w:numPr>
          <w:ilvl w:val="3"/>
          <w:numId w:val="1"/>
        </w:numPr>
        <w:shd w:val="clear" w:color="auto" w:fill="FFFFFF"/>
        <w:spacing w:before="0" w:beforeAutospacing="0" w:after="0" w:afterAutospacing="0"/>
        <w:textAlignment w:val="baseline"/>
        <w:rPr>
          <w:rFonts w:ascii="Arial" w:hAnsi="Arial" w:cs="Arial"/>
          <w:color w:val="000000"/>
        </w:rPr>
      </w:pPr>
      <w:r w:rsidRPr="00E77920">
        <w:rPr>
          <w:rFonts w:ascii="Arial" w:hAnsi="Arial" w:cs="Arial"/>
          <w:color w:val="000000"/>
        </w:rPr>
        <w:t>Test readiness</w:t>
      </w:r>
    </w:p>
    <w:p w:rsidR="00757E95" w:rsidRPr="00E77920" w:rsidRDefault="00757E95" w:rsidP="00757E95">
      <w:pPr>
        <w:pStyle w:val="NormalWeb"/>
        <w:numPr>
          <w:ilvl w:val="2"/>
          <w:numId w:val="1"/>
        </w:numPr>
        <w:shd w:val="clear" w:color="auto" w:fill="FFFFFF"/>
        <w:spacing w:before="0" w:beforeAutospacing="0" w:after="0" w:afterAutospacing="0"/>
        <w:textAlignment w:val="baseline"/>
        <w:rPr>
          <w:rFonts w:ascii="Arial" w:hAnsi="Arial" w:cs="Arial"/>
          <w:color w:val="000000"/>
        </w:rPr>
      </w:pPr>
      <w:r w:rsidRPr="00E77920">
        <w:rPr>
          <w:rFonts w:ascii="Arial" w:hAnsi="Arial" w:cs="Arial"/>
          <w:color w:val="000000"/>
        </w:rPr>
        <w:t xml:space="preserve">Field Experiences </w:t>
      </w:r>
    </w:p>
    <w:p w:rsidR="00757E95" w:rsidRPr="00E77920" w:rsidRDefault="00757E95" w:rsidP="00757E95">
      <w:pPr>
        <w:pStyle w:val="NormalWeb"/>
        <w:numPr>
          <w:ilvl w:val="3"/>
          <w:numId w:val="1"/>
        </w:numPr>
        <w:shd w:val="clear" w:color="auto" w:fill="FFFFFF"/>
        <w:spacing w:before="0" w:beforeAutospacing="0" w:after="0" w:afterAutospacing="0"/>
        <w:textAlignment w:val="baseline"/>
        <w:rPr>
          <w:rFonts w:ascii="Arial" w:hAnsi="Arial" w:cs="Arial"/>
          <w:color w:val="000000"/>
        </w:rPr>
      </w:pPr>
      <w:r w:rsidRPr="00E77920">
        <w:rPr>
          <w:rFonts w:ascii="Arial" w:hAnsi="Arial" w:cs="Arial"/>
          <w:color w:val="000000"/>
        </w:rPr>
        <w:t xml:space="preserve">Unqualified field supervisors </w:t>
      </w:r>
    </w:p>
    <w:p w:rsidR="00757E95" w:rsidRPr="00E77920" w:rsidRDefault="00757E95" w:rsidP="00757E95">
      <w:pPr>
        <w:pStyle w:val="NormalWeb"/>
        <w:numPr>
          <w:ilvl w:val="3"/>
          <w:numId w:val="1"/>
        </w:numPr>
        <w:shd w:val="clear" w:color="auto" w:fill="FFFFFF"/>
        <w:spacing w:before="0" w:beforeAutospacing="0" w:after="0" w:afterAutospacing="0"/>
        <w:textAlignment w:val="baseline"/>
        <w:rPr>
          <w:rFonts w:ascii="Arial" w:hAnsi="Arial" w:cs="Arial"/>
          <w:color w:val="000000"/>
        </w:rPr>
      </w:pPr>
      <w:r w:rsidRPr="00E77920">
        <w:rPr>
          <w:rFonts w:ascii="Arial" w:hAnsi="Arial" w:cs="Arial"/>
          <w:color w:val="000000"/>
        </w:rPr>
        <w:t>Untrained site and field supervisors</w:t>
      </w:r>
    </w:p>
    <w:p w:rsidR="00757E95" w:rsidRPr="00E77920" w:rsidRDefault="00757E95" w:rsidP="00757E95">
      <w:pPr>
        <w:pStyle w:val="NormalWeb"/>
        <w:numPr>
          <w:ilvl w:val="3"/>
          <w:numId w:val="1"/>
        </w:numPr>
        <w:shd w:val="clear" w:color="auto" w:fill="FFFFFF"/>
        <w:spacing w:before="0" w:beforeAutospacing="0" w:after="0" w:afterAutospacing="0"/>
        <w:textAlignment w:val="baseline"/>
        <w:rPr>
          <w:rFonts w:ascii="Arial" w:hAnsi="Arial" w:cs="Arial"/>
          <w:color w:val="000000"/>
        </w:rPr>
      </w:pPr>
      <w:r w:rsidRPr="00E77920">
        <w:rPr>
          <w:rFonts w:ascii="Arial" w:hAnsi="Arial" w:cs="Arial"/>
          <w:color w:val="000000"/>
        </w:rPr>
        <w:t xml:space="preserve">Missing field experience documents </w:t>
      </w:r>
    </w:p>
    <w:p w:rsidR="00757E95" w:rsidRPr="00E77920" w:rsidRDefault="00757E95" w:rsidP="00757E95">
      <w:pPr>
        <w:pStyle w:val="NormalWeb"/>
        <w:numPr>
          <w:ilvl w:val="2"/>
          <w:numId w:val="1"/>
        </w:numPr>
        <w:shd w:val="clear" w:color="auto" w:fill="FFFFFF"/>
        <w:spacing w:before="0" w:beforeAutospacing="0" w:after="0" w:afterAutospacing="0"/>
        <w:textAlignment w:val="baseline"/>
        <w:rPr>
          <w:rFonts w:ascii="Arial" w:hAnsi="Arial" w:cs="Arial"/>
          <w:color w:val="000000"/>
        </w:rPr>
      </w:pPr>
      <w:r w:rsidRPr="00E77920">
        <w:rPr>
          <w:rFonts w:ascii="Arial" w:hAnsi="Arial" w:cs="Arial"/>
          <w:color w:val="000000"/>
        </w:rPr>
        <w:lastRenderedPageBreak/>
        <w:t xml:space="preserve">Tk20 Adoption Timeline – Spring 2019 pilot </w:t>
      </w:r>
    </w:p>
    <w:p w:rsidR="00757E95" w:rsidRPr="00E77920" w:rsidRDefault="00757E95" w:rsidP="00757E95">
      <w:pPr>
        <w:pStyle w:val="NormalWeb"/>
        <w:numPr>
          <w:ilvl w:val="3"/>
          <w:numId w:val="1"/>
        </w:numPr>
        <w:shd w:val="clear" w:color="auto" w:fill="FFFFFF"/>
        <w:spacing w:before="0" w:beforeAutospacing="0" w:after="0" w:afterAutospacing="0"/>
        <w:textAlignment w:val="baseline"/>
        <w:rPr>
          <w:rFonts w:ascii="Arial" w:hAnsi="Arial" w:cs="Arial"/>
          <w:color w:val="000000"/>
        </w:rPr>
      </w:pPr>
      <w:r w:rsidRPr="00E77920">
        <w:rPr>
          <w:rFonts w:ascii="Arial" w:hAnsi="Arial" w:cs="Arial"/>
          <w:color w:val="000000"/>
        </w:rPr>
        <w:t>EPP Admission Status</w:t>
      </w:r>
    </w:p>
    <w:p w:rsidR="00757E95" w:rsidRPr="00E77920" w:rsidRDefault="00757E95" w:rsidP="00757E95">
      <w:pPr>
        <w:pStyle w:val="NormalWeb"/>
        <w:numPr>
          <w:ilvl w:val="4"/>
          <w:numId w:val="1"/>
        </w:numPr>
        <w:shd w:val="clear" w:color="auto" w:fill="FFFFFF"/>
        <w:spacing w:before="0" w:beforeAutospacing="0" w:after="0" w:afterAutospacing="0"/>
        <w:textAlignment w:val="baseline"/>
        <w:rPr>
          <w:rFonts w:ascii="Arial" w:hAnsi="Arial" w:cs="Arial"/>
          <w:color w:val="000000"/>
        </w:rPr>
      </w:pPr>
      <w:r w:rsidRPr="00E77920">
        <w:rPr>
          <w:rFonts w:ascii="Arial" w:hAnsi="Arial" w:cs="Arial"/>
          <w:color w:val="000000"/>
        </w:rPr>
        <w:t>As soon as Colleague data are uploaded to Tk20 and UG/MAT students have Tk20 accounts, EPP applicants may log into Tk20 and check the status of their EPP application.</w:t>
      </w:r>
    </w:p>
    <w:p w:rsidR="00757E95" w:rsidRPr="00E77920" w:rsidRDefault="00757E95" w:rsidP="00757E95">
      <w:pPr>
        <w:pStyle w:val="NormalWeb"/>
        <w:numPr>
          <w:ilvl w:val="3"/>
          <w:numId w:val="1"/>
        </w:numPr>
        <w:shd w:val="clear" w:color="auto" w:fill="FFFFFF"/>
        <w:spacing w:before="0" w:beforeAutospacing="0" w:after="0" w:afterAutospacing="0"/>
        <w:textAlignment w:val="baseline"/>
        <w:rPr>
          <w:rFonts w:ascii="Arial" w:hAnsi="Arial" w:cs="Arial"/>
          <w:color w:val="000000"/>
        </w:rPr>
      </w:pPr>
      <w:r w:rsidRPr="00E77920">
        <w:rPr>
          <w:rFonts w:ascii="Arial" w:hAnsi="Arial" w:cs="Arial"/>
          <w:color w:val="000000"/>
        </w:rPr>
        <w:t xml:space="preserve">Time Logs – First Classes </w:t>
      </w:r>
    </w:p>
    <w:p w:rsidR="00757E95" w:rsidRPr="00E77920" w:rsidRDefault="00757E95" w:rsidP="00757E95">
      <w:pPr>
        <w:pStyle w:val="NormalWeb"/>
        <w:numPr>
          <w:ilvl w:val="4"/>
          <w:numId w:val="1"/>
        </w:numPr>
        <w:shd w:val="clear" w:color="auto" w:fill="FFFFFF"/>
        <w:spacing w:before="0" w:beforeAutospacing="0" w:after="0" w:afterAutospacing="0"/>
        <w:textAlignment w:val="baseline"/>
        <w:rPr>
          <w:rFonts w:ascii="Arial" w:hAnsi="Arial" w:cs="Arial"/>
          <w:color w:val="000000"/>
        </w:rPr>
      </w:pPr>
      <w:r w:rsidRPr="00E77920">
        <w:rPr>
          <w:rFonts w:ascii="Arial" w:hAnsi="Arial" w:cs="Arial"/>
          <w:color w:val="000000"/>
        </w:rPr>
        <w:t>EDUC 4000s</w:t>
      </w:r>
    </w:p>
    <w:p w:rsidR="00757E95" w:rsidRPr="00E77920" w:rsidRDefault="00757E95" w:rsidP="00757E95">
      <w:pPr>
        <w:pStyle w:val="NormalWeb"/>
        <w:numPr>
          <w:ilvl w:val="4"/>
          <w:numId w:val="1"/>
        </w:numPr>
        <w:shd w:val="clear" w:color="auto" w:fill="FFFFFF"/>
        <w:spacing w:before="0" w:beforeAutospacing="0" w:after="0" w:afterAutospacing="0"/>
        <w:textAlignment w:val="baseline"/>
        <w:rPr>
          <w:rFonts w:ascii="Arial" w:hAnsi="Arial" w:cs="Arial"/>
          <w:color w:val="000000"/>
        </w:rPr>
      </w:pPr>
      <w:r w:rsidRPr="00E77920">
        <w:rPr>
          <w:rFonts w:ascii="Arial" w:hAnsi="Arial" w:cs="Arial"/>
          <w:color w:val="000000"/>
        </w:rPr>
        <w:t>LS 5843 – School Librarian</w:t>
      </w:r>
    </w:p>
    <w:p w:rsidR="00757E95" w:rsidRPr="00E77920" w:rsidRDefault="00757E95" w:rsidP="00757E95">
      <w:pPr>
        <w:pStyle w:val="NormalWeb"/>
        <w:numPr>
          <w:ilvl w:val="4"/>
          <w:numId w:val="1"/>
        </w:numPr>
        <w:shd w:val="clear" w:color="auto" w:fill="FFFFFF"/>
        <w:spacing w:before="0" w:beforeAutospacing="0" w:after="0" w:afterAutospacing="0"/>
        <w:textAlignment w:val="baseline"/>
        <w:rPr>
          <w:rFonts w:ascii="Arial" w:hAnsi="Arial" w:cs="Arial"/>
          <w:color w:val="000000"/>
        </w:rPr>
      </w:pPr>
      <w:r w:rsidRPr="00E77920">
        <w:rPr>
          <w:rFonts w:ascii="Arial" w:hAnsi="Arial" w:cs="Arial"/>
          <w:color w:val="000000"/>
        </w:rPr>
        <w:t xml:space="preserve">EDSP 5863 – Ed. </w:t>
      </w:r>
      <w:proofErr w:type="spellStart"/>
      <w:r w:rsidRPr="00E77920">
        <w:rPr>
          <w:rFonts w:ascii="Arial" w:hAnsi="Arial" w:cs="Arial"/>
          <w:color w:val="000000"/>
        </w:rPr>
        <w:t>Diag</w:t>
      </w:r>
      <w:proofErr w:type="spellEnd"/>
      <w:r w:rsidRPr="00E77920">
        <w:rPr>
          <w:rFonts w:ascii="Arial" w:hAnsi="Arial" w:cs="Arial"/>
          <w:color w:val="000000"/>
        </w:rPr>
        <w:t xml:space="preserve"> Practicum </w:t>
      </w:r>
    </w:p>
    <w:p w:rsidR="00757E95" w:rsidRPr="00E77920" w:rsidRDefault="00757E95" w:rsidP="00757E95">
      <w:pPr>
        <w:pStyle w:val="NormalWeb"/>
        <w:numPr>
          <w:ilvl w:val="3"/>
          <w:numId w:val="1"/>
        </w:numPr>
        <w:shd w:val="clear" w:color="auto" w:fill="FFFFFF"/>
        <w:spacing w:before="0" w:beforeAutospacing="0" w:after="0" w:afterAutospacing="0"/>
        <w:textAlignment w:val="baseline"/>
        <w:rPr>
          <w:rFonts w:ascii="Arial" w:hAnsi="Arial" w:cs="Arial"/>
          <w:color w:val="000000"/>
        </w:rPr>
      </w:pPr>
      <w:r w:rsidRPr="00E77920">
        <w:rPr>
          <w:rFonts w:ascii="Arial" w:hAnsi="Arial" w:cs="Arial"/>
          <w:color w:val="000000"/>
        </w:rPr>
        <w:t>Fall 2019 Student Teaching Application</w:t>
      </w:r>
    </w:p>
    <w:p w:rsidR="00757E95" w:rsidRPr="00E77920" w:rsidRDefault="00757E95" w:rsidP="00757E95">
      <w:pPr>
        <w:pStyle w:val="NormalWeb"/>
        <w:numPr>
          <w:ilvl w:val="4"/>
          <w:numId w:val="1"/>
        </w:numPr>
        <w:shd w:val="clear" w:color="auto" w:fill="FFFFFF"/>
        <w:spacing w:before="0" w:beforeAutospacing="0" w:after="0" w:afterAutospacing="0"/>
        <w:textAlignment w:val="baseline"/>
        <w:rPr>
          <w:rFonts w:ascii="Arial" w:hAnsi="Arial" w:cs="Arial"/>
          <w:color w:val="000000"/>
        </w:rPr>
      </w:pPr>
      <w:r w:rsidRPr="00E77920">
        <w:rPr>
          <w:rFonts w:ascii="Arial" w:hAnsi="Arial" w:cs="Arial"/>
          <w:color w:val="000000"/>
        </w:rPr>
        <w:t>EDUC 4000s will already have Tk20 accounts so additional may be needed for MAT/PB who are ready to student teach.</w:t>
      </w:r>
    </w:p>
    <w:p w:rsidR="00757E95" w:rsidRPr="00E77920" w:rsidRDefault="00B8254E" w:rsidP="00757E95">
      <w:pPr>
        <w:pStyle w:val="NormalWeb"/>
        <w:numPr>
          <w:ilvl w:val="2"/>
          <w:numId w:val="1"/>
        </w:numPr>
        <w:shd w:val="clear" w:color="auto" w:fill="FFFFFF"/>
        <w:spacing w:before="0" w:beforeAutospacing="0" w:after="0" w:afterAutospacing="0"/>
        <w:textAlignment w:val="baseline"/>
        <w:rPr>
          <w:rFonts w:ascii="Arial" w:hAnsi="Arial" w:cs="Arial"/>
          <w:color w:val="000000"/>
        </w:rPr>
      </w:pPr>
      <w:r w:rsidRPr="00E77920">
        <w:rPr>
          <w:rFonts w:ascii="Arial" w:hAnsi="Arial" w:cs="Arial"/>
          <w:color w:val="000000"/>
        </w:rPr>
        <w:t>Digital Learning</w:t>
      </w:r>
    </w:p>
    <w:p w:rsidR="00B8254E" w:rsidRPr="00E77920" w:rsidRDefault="00B8254E" w:rsidP="00B8254E">
      <w:pPr>
        <w:numPr>
          <w:ilvl w:val="3"/>
          <w:numId w:val="1"/>
        </w:numPr>
        <w:spacing w:after="0" w:line="240" w:lineRule="auto"/>
        <w:textAlignment w:val="baseline"/>
        <w:rPr>
          <w:rFonts w:ascii="Arial" w:eastAsia="Times New Roman" w:hAnsi="Arial" w:cs="Arial"/>
          <w:color w:val="000000"/>
          <w:sz w:val="24"/>
          <w:szCs w:val="24"/>
        </w:rPr>
      </w:pPr>
      <w:r w:rsidRPr="00B8254E">
        <w:rPr>
          <w:rFonts w:ascii="Arial" w:eastAsia="Times New Roman" w:hAnsi="Arial" w:cs="Arial"/>
          <w:color w:val="212121"/>
          <w:sz w:val="24"/>
          <w:szCs w:val="24"/>
        </w:rPr>
        <w:t xml:space="preserve">In anticipation of TAC 228.30(c)(8) “requiring the curriculum for all certification classes to include instruction in digital learning” becoming rule, below are the links to the pre- and post-assessments of the digital literacy exam that was vetted by the DTE faculty. Here is the game plan, </w:t>
      </w:r>
      <w:r w:rsidRPr="00E77920">
        <w:rPr>
          <w:rFonts w:ascii="Arial" w:eastAsia="Times New Roman" w:hAnsi="Arial" w:cs="Arial"/>
          <w:color w:val="212121"/>
          <w:sz w:val="24"/>
          <w:szCs w:val="24"/>
        </w:rPr>
        <w:t>Brandon will</w:t>
      </w:r>
      <w:r w:rsidRPr="00B8254E">
        <w:rPr>
          <w:rFonts w:ascii="Arial" w:eastAsia="Times New Roman" w:hAnsi="Arial" w:cs="Arial"/>
          <w:color w:val="212121"/>
          <w:sz w:val="24"/>
          <w:szCs w:val="24"/>
        </w:rPr>
        <w:t xml:space="preserve"> update the EPP applications to include the pre-assessments links once TAC 228.30 is statute and we inform all program coordinators of the change. We will not offer acceptance to the EPP until the applicant meets all requirements for admission including the Digital Literacy pre-assessment.</w:t>
      </w:r>
      <w:r w:rsidRPr="00E77920">
        <w:rPr>
          <w:rFonts w:ascii="Arial" w:eastAsia="Times New Roman" w:hAnsi="Arial" w:cs="Arial"/>
          <w:color w:val="212121"/>
          <w:sz w:val="24"/>
          <w:szCs w:val="24"/>
        </w:rPr>
        <w:t xml:space="preserve"> Brandon has</w:t>
      </w:r>
      <w:r w:rsidRPr="00B8254E">
        <w:rPr>
          <w:rFonts w:ascii="Arial" w:eastAsia="Times New Roman" w:hAnsi="Arial" w:cs="Arial"/>
          <w:color w:val="212121"/>
          <w:sz w:val="24"/>
          <w:szCs w:val="24"/>
        </w:rPr>
        <w:t xml:space="preserve"> requested two new doc-types for </w:t>
      </w:r>
      <w:proofErr w:type="spellStart"/>
      <w:r w:rsidRPr="00B8254E">
        <w:rPr>
          <w:rFonts w:ascii="Arial" w:eastAsia="Times New Roman" w:hAnsi="Arial" w:cs="Arial"/>
          <w:color w:val="212121"/>
          <w:sz w:val="24"/>
          <w:szCs w:val="24"/>
        </w:rPr>
        <w:t>OnBase</w:t>
      </w:r>
      <w:proofErr w:type="spellEnd"/>
      <w:r w:rsidRPr="00B8254E">
        <w:rPr>
          <w:rFonts w:ascii="Arial" w:eastAsia="Times New Roman" w:hAnsi="Arial" w:cs="Arial"/>
          <w:color w:val="212121"/>
          <w:sz w:val="24"/>
          <w:szCs w:val="24"/>
        </w:rPr>
        <w:t xml:space="preserve"> so we can easily file the </w:t>
      </w:r>
      <w:r w:rsidRPr="00E77920">
        <w:rPr>
          <w:rFonts w:ascii="Arial" w:eastAsia="Times New Roman" w:hAnsi="Arial" w:cs="Arial"/>
          <w:color w:val="212121"/>
          <w:sz w:val="24"/>
          <w:szCs w:val="24"/>
        </w:rPr>
        <w:t>student’s</w:t>
      </w:r>
      <w:r w:rsidRPr="00B8254E">
        <w:rPr>
          <w:rFonts w:ascii="Arial" w:eastAsia="Times New Roman" w:hAnsi="Arial" w:cs="Arial"/>
          <w:color w:val="212121"/>
          <w:sz w:val="24"/>
          <w:szCs w:val="24"/>
        </w:rPr>
        <w:t xml:space="preserve"> results in their student file. Finally, the post-assessment will have to take place during student teaching, internship, or practicum. Linda will not recommend a student for certification until the post-assessment is complete. </w:t>
      </w:r>
    </w:p>
    <w:p w:rsidR="00E77920" w:rsidRPr="00E77920" w:rsidRDefault="00E77920" w:rsidP="00E77920">
      <w:pPr>
        <w:numPr>
          <w:ilvl w:val="0"/>
          <w:numId w:val="1"/>
        </w:numPr>
        <w:spacing w:after="0" w:line="240" w:lineRule="auto"/>
        <w:textAlignment w:val="baseline"/>
        <w:rPr>
          <w:rFonts w:ascii="Arial" w:eastAsia="Times New Roman" w:hAnsi="Arial" w:cs="Arial"/>
          <w:color w:val="000000"/>
          <w:sz w:val="24"/>
          <w:szCs w:val="24"/>
        </w:rPr>
      </w:pPr>
      <w:r w:rsidRPr="00E77920">
        <w:rPr>
          <w:rFonts w:ascii="Arial" w:eastAsia="Times New Roman" w:hAnsi="Arial" w:cs="Arial"/>
          <w:color w:val="212121"/>
          <w:sz w:val="24"/>
          <w:szCs w:val="24"/>
        </w:rPr>
        <w:t>Adjournment</w:t>
      </w:r>
    </w:p>
    <w:p w:rsidR="00E77920" w:rsidRPr="00E77920" w:rsidRDefault="00E77920" w:rsidP="00E77920">
      <w:pPr>
        <w:numPr>
          <w:ilvl w:val="1"/>
          <w:numId w:val="1"/>
        </w:numPr>
        <w:spacing w:after="0" w:line="240" w:lineRule="auto"/>
        <w:textAlignment w:val="baseline"/>
        <w:rPr>
          <w:rFonts w:ascii="Arial" w:eastAsia="Times New Roman" w:hAnsi="Arial" w:cs="Arial"/>
          <w:color w:val="000000"/>
          <w:sz w:val="24"/>
          <w:szCs w:val="24"/>
        </w:rPr>
      </w:pPr>
      <w:r w:rsidRPr="00E77920">
        <w:rPr>
          <w:rFonts w:ascii="Arial" w:eastAsia="Times New Roman" w:hAnsi="Arial" w:cs="Arial"/>
          <w:color w:val="000000"/>
          <w:sz w:val="24"/>
          <w:szCs w:val="24"/>
        </w:rPr>
        <w:t>Diane makes a motion to adjourn</w:t>
      </w:r>
    </w:p>
    <w:p w:rsidR="00E77920" w:rsidRPr="00E77920" w:rsidRDefault="00E77920" w:rsidP="00E77920">
      <w:pPr>
        <w:numPr>
          <w:ilvl w:val="1"/>
          <w:numId w:val="1"/>
        </w:numPr>
        <w:spacing w:after="0" w:line="240" w:lineRule="auto"/>
        <w:textAlignment w:val="baseline"/>
        <w:rPr>
          <w:rFonts w:ascii="Arial" w:eastAsia="Times New Roman" w:hAnsi="Arial" w:cs="Arial"/>
          <w:color w:val="000000"/>
          <w:sz w:val="24"/>
          <w:szCs w:val="24"/>
        </w:rPr>
      </w:pPr>
      <w:r w:rsidRPr="00E77920">
        <w:rPr>
          <w:rFonts w:ascii="Arial" w:eastAsia="Times New Roman" w:hAnsi="Arial" w:cs="Arial"/>
          <w:color w:val="000000"/>
          <w:sz w:val="24"/>
          <w:szCs w:val="24"/>
        </w:rPr>
        <w:t>Holly seconds it</w:t>
      </w:r>
    </w:p>
    <w:p w:rsidR="00E77920" w:rsidRPr="00E77920" w:rsidRDefault="00E77920" w:rsidP="00E77920">
      <w:pPr>
        <w:numPr>
          <w:ilvl w:val="1"/>
          <w:numId w:val="1"/>
        </w:numPr>
        <w:spacing w:after="0" w:line="240" w:lineRule="auto"/>
        <w:textAlignment w:val="baseline"/>
        <w:rPr>
          <w:rFonts w:ascii="Arial" w:eastAsia="Times New Roman" w:hAnsi="Arial" w:cs="Arial"/>
          <w:color w:val="000000"/>
          <w:sz w:val="24"/>
          <w:szCs w:val="24"/>
        </w:rPr>
      </w:pPr>
      <w:r w:rsidRPr="00E77920">
        <w:rPr>
          <w:rFonts w:ascii="Arial" w:eastAsia="Times New Roman" w:hAnsi="Arial" w:cs="Arial"/>
          <w:color w:val="000000"/>
          <w:sz w:val="24"/>
          <w:szCs w:val="24"/>
        </w:rPr>
        <w:t>All approved</w:t>
      </w:r>
    </w:p>
    <w:p w:rsidR="00E77920" w:rsidRPr="00E77920" w:rsidRDefault="00E77920" w:rsidP="00E77920">
      <w:pPr>
        <w:numPr>
          <w:ilvl w:val="1"/>
          <w:numId w:val="1"/>
        </w:numPr>
        <w:spacing w:after="0" w:line="240" w:lineRule="auto"/>
        <w:textAlignment w:val="baseline"/>
        <w:rPr>
          <w:rFonts w:ascii="Arial" w:eastAsia="Times New Roman" w:hAnsi="Arial" w:cs="Arial"/>
          <w:color w:val="000000"/>
          <w:sz w:val="24"/>
          <w:szCs w:val="24"/>
        </w:rPr>
      </w:pPr>
      <w:r w:rsidRPr="00E77920">
        <w:rPr>
          <w:rFonts w:ascii="Arial" w:eastAsia="Times New Roman" w:hAnsi="Arial" w:cs="Arial"/>
          <w:color w:val="000000"/>
          <w:sz w:val="24"/>
          <w:szCs w:val="24"/>
        </w:rPr>
        <w:t xml:space="preserve">Meeting adjourned </w:t>
      </w:r>
    </w:p>
    <w:p w:rsidR="00E77920" w:rsidRPr="00B8254E" w:rsidRDefault="00E77920" w:rsidP="00E77920">
      <w:pPr>
        <w:spacing w:after="0" w:line="240" w:lineRule="auto"/>
        <w:ind w:left="1440"/>
        <w:textAlignment w:val="baseline"/>
        <w:rPr>
          <w:rFonts w:ascii="Arial" w:eastAsia="Times New Roman" w:hAnsi="Arial" w:cs="Arial"/>
          <w:color w:val="000000"/>
          <w:sz w:val="24"/>
          <w:szCs w:val="24"/>
        </w:rPr>
      </w:pPr>
    </w:p>
    <w:p w:rsidR="00B8254E" w:rsidRPr="00E77920" w:rsidRDefault="00B8254E" w:rsidP="00B8254E">
      <w:pPr>
        <w:pStyle w:val="NormalWeb"/>
        <w:shd w:val="clear" w:color="auto" w:fill="FFFFFF"/>
        <w:spacing w:before="0" w:beforeAutospacing="0" w:after="0" w:afterAutospacing="0"/>
        <w:ind w:left="2880"/>
        <w:textAlignment w:val="baseline"/>
        <w:rPr>
          <w:rFonts w:ascii="Arial" w:hAnsi="Arial" w:cs="Arial"/>
          <w:color w:val="000000"/>
        </w:rPr>
      </w:pPr>
    </w:p>
    <w:p w:rsidR="001A7071" w:rsidRPr="00E77920" w:rsidRDefault="001A7071" w:rsidP="006C43B3">
      <w:pPr>
        <w:pStyle w:val="NormalWeb"/>
        <w:shd w:val="clear" w:color="auto" w:fill="FFFFFF"/>
        <w:spacing w:before="0" w:beforeAutospacing="0" w:after="0" w:afterAutospacing="0"/>
        <w:textAlignment w:val="baseline"/>
        <w:rPr>
          <w:rFonts w:ascii="Arial" w:hAnsi="Arial" w:cs="Arial"/>
          <w:color w:val="000000"/>
        </w:rPr>
      </w:pPr>
    </w:p>
    <w:p w:rsidR="001A7071" w:rsidRPr="00E77920" w:rsidRDefault="001A7071" w:rsidP="001A7071">
      <w:pPr>
        <w:pStyle w:val="NormalWeb"/>
        <w:shd w:val="clear" w:color="auto" w:fill="FFFFFF"/>
        <w:spacing w:before="0" w:beforeAutospacing="0" w:after="0" w:afterAutospacing="0"/>
        <w:ind w:left="2160"/>
        <w:textAlignment w:val="baseline"/>
        <w:rPr>
          <w:rFonts w:ascii="Arial" w:hAnsi="Arial" w:cs="Arial"/>
          <w:color w:val="000000"/>
        </w:rPr>
      </w:pPr>
    </w:p>
    <w:sectPr w:rsidR="001A7071" w:rsidRPr="00E779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60BFA"/>
    <w:multiLevelType w:val="multilevel"/>
    <w:tmpl w:val="656C4A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7761C8"/>
    <w:multiLevelType w:val="multilevel"/>
    <w:tmpl w:val="E878C8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0D1C61"/>
    <w:multiLevelType w:val="multilevel"/>
    <w:tmpl w:val="C98EF7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80535E"/>
    <w:multiLevelType w:val="multilevel"/>
    <w:tmpl w:val="27DA27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F24CC7"/>
    <w:multiLevelType w:val="hybridMultilevel"/>
    <w:tmpl w:val="1ED89896"/>
    <w:lvl w:ilvl="0" w:tplc="263664CE">
      <w:start w:val="1"/>
      <w:numFmt w:val="upperLetter"/>
      <w:lvlText w:val="%1."/>
      <w:lvlJc w:val="left"/>
      <w:pPr>
        <w:ind w:left="81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lvlOverride w:ilvl="2">
      <w:lvl w:ilvl="2">
        <w:numFmt w:val="lowerRoman"/>
        <w:lvlText w:val="%3."/>
        <w:lvlJc w:val="right"/>
      </w:lvl>
    </w:lvlOverride>
  </w:num>
  <w:num w:numId="3">
    <w:abstractNumId w:val="3"/>
    <w:lvlOverride w:ilvl="2">
      <w:lvl w:ilvl="2">
        <w:numFmt w:val="lowerRoman"/>
        <w:lvlText w:val="%3."/>
        <w:lvlJc w:val="right"/>
      </w:lvl>
    </w:lvlOverride>
  </w:num>
  <w:num w:numId="4">
    <w:abstractNumId w:val="2"/>
  </w:num>
  <w:num w:numId="5">
    <w:abstractNumId w:val="0"/>
    <w:lvlOverride w:ilvl="2">
      <w:lvl w:ilvl="2">
        <w:numFmt w:val="lowerRoman"/>
        <w:lvlText w:val="%3."/>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7A6"/>
    <w:rsid w:val="000663CB"/>
    <w:rsid w:val="000B47A6"/>
    <w:rsid w:val="001A7071"/>
    <w:rsid w:val="002A6555"/>
    <w:rsid w:val="00656047"/>
    <w:rsid w:val="006C43B3"/>
    <w:rsid w:val="00757E95"/>
    <w:rsid w:val="007D2A1F"/>
    <w:rsid w:val="009A6F5E"/>
    <w:rsid w:val="00B8254E"/>
    <w:rsid w:val="00CE0F38"/>
    <w:rsid w:val="00E63B71"/>
    <w:rsid w:val="00E77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1DDBC7-0089-4BE8-AD26-4908520D4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47A6"/>
    <w:pPr>
      <w:ind w:left="720"/>
      <w:contextualSpacing/>
    </w:pPr>
  </w:style>
  <w:style w:type="character" w:styleId="Hyperlink">
    <w:name w:val="Hyperlink"/>
    <w:basedOn w:val="DefaultParagraphFont"/>
    <w:uiPriority w:val="99"/>
    <w:semiHidden/>
    <w:unhideWhenUsed/>
    <w:rsid w:val="000663CB"/>
    <w:rPr>
      <w:color w:val="0000FF"/>
      <w:u w:val="single"/>
    </w:rPr>
  </w:style>
  <w:style w:type="paragraph" w:styleId="NormalWeb">
    <w:name w:val="Normal (Web)"/>
    <w:basedOn w:val="Normal"/>
    <w:uiPriority w:val="99"/>
    <w:unhideWhenUsed/>
    <w:rsid w:val="00CE0F3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02536">
      <w:bodyDiv w:val="1"/>
      <w:marLeft w:val="0"/>
      <w:marRight w:val="0"/>
      <w:marTop w:val="0"/>
      <w:marBottom w:val="0"/>
      <w:divBdr>
        <w:top w:val="none" w:sz="0" w:space="0" w:color="auto"/>
        <w:left w:val="none" w:sz="0" w:space="0" w:color="auto"/>
        <w:bottom w:val="none" w:sz="0" w:space="0" w:color="auto"/>
        <w:right w:val="none" w:sz="0" w:space="0" w:color="auto"/>
      </w:divBdr>
    </w:div>
    <w:div w:id="147863847">
      <w:bodyDiv w:val="1"/>
      <w:marLeft w:val="0"/>
      <w:marRight w:val="0"/>
      <w:marTop w:val="0"/>
      <w:marBottom w:val="0"/>
      <w:divBdr>
        <w:top w:val="none" w:sz="0" w:space="0" w:color="auto"/>
        <w:left w:val="none" w:sz="0" w:space="0" w:color="auto"/>
        <w:bottom w:val="none" w:sz="0" w:space="0" w:color="auto"/>
        <w:right w:val="none" w:sz="0" w:space="0" w:color="auto"/>
      </w:divBdr>
    </w:div>
    <w:div w:id="333386673">
      <w:bodyDiv w:val="1"/>
      <w:marLeft w:val="0"/>
      <w:marRight w:val="0"/>
      <w:marTop w:val="0"/>
      <w:marBottom w:val="0"/>
      <w:divBdr>
        <w:top w:val="none" w:sz="0" w:space="0" w:color="auto"/>
        <w:left w:val="none" w:sz="0" w:space="0" w:color="auto"/>
        <w:bottom w:val="none" w:sz="0" w:space="0" w:color="auto"/>
        <w:right w:val="none" w:sz="0" w:space="0" w:color="auto"/>
      </w:divBdr>
    </w:div>
    <w:div w:id="1032262117">
      <w:bodyDiv w:val="1"/>
      <w:marLeft w:val="0"/>
      <w:marRight w:val="0"/>
      <w:marTop w:val="0"/>
      <w:marBottom w:val="0"/>
      <w:divBdr>
        <w:top w:val="none" w:sz="0" w:space="0" w:color="auto"/>
        <w:left w:val="none" w:sz="0" w:space="0" w:color="auto"/>
        <w:bottom w:val="none" w:sz="0" w:space="0" w:color="auto"/>
        <w:right w:val="none" w:sz="0" w:space="0" w:color="auto"/>
      </w:divBdr>
    </w:div>
    <w:div w:id="178777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google.com/document/d/1O-fflL3B0MZFh_M2097lq2wPgq02Fj2gImTsCZ7HaZQ/edit?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document/d/1i3XKaop1XFJIi5nOExDi5qSLZzfnEAeWZjaXXFNbCTA/edit" TargetMode="External"/><Relationship Id="rId5" Type="http://schemas.openxmlformats.org/officeDocument/2006/relationships/hyperlink" Target="https://twu.edu/teacher-certificati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768</Words>
  <Characters>4380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Texas Woman's University</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Ceballos, Nicole</dc:creator>
  <cp:keywords/>
  <dc:description/>
  <cp:lastModifiedBy>Gotcher, Nancy</cp:lastModifiedBy>
  <cp:revision>2</cp:revision>
  <dcterms:created xsi:type="dcterms:W3CDTF">2018-10-08T14:24:00Z</dcterms:created>
  <dcterms:modified xsi:type="dcterms:W3CDTF">2018-10-08T14:24:00Z</dcterms:modified>
</cp:coreProperties>
</file>