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C5C3C" w:rsidRDefault="006321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l75lgg56ns0c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Council for Educator Preparation</w:t>
      </w:r>
    </w:p>
    <w:p w14:paraId="00000002" w14:textId="77777777" w:rsidR="007C5C3C" w:rsidRDefault="0063214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Agenda/Minutes</w:t>
      </w:r>
    </w:p>
    <w:p w14:paraId="00000003" w14:textId="77777777" w:rsidR="007C5C3C" w:rsidRDefault="0063214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October 11, 2019</w:t>
      </w:r>
    </w:p>
    <w:p w14:paraId="00000004" w14:textId="77777777" w:rsidR="007C5C3C" w:rsidRDefault="0063214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11:00-1:00PM</w:t>
      </w:r>
    </w:p>
    <w:p w14:paraId="00000005" w14:textId="77777777" w:rsidR="007C5C3C" w:rsidRDefault="0063214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 202A</w:t>
      </w:r>
    </w:p>
    <w:p w14:paraId="00000006" w14:textId="77777777" w:rsidR="007C5C3C" w:rsidRDefault="007C5C3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7C5C3C" w:rsidRDefault="0063214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Call to order and attendance: Joyce Armstron, Cathy Banks, Connie Briggs, Evelyn Dickson, Suzanna Dillon Karen Dunlap, Becky Fredrickson, Holly Hansen-Thomas, Sarah McMahan, Jennifer Moore, Ilana Morgan, Amiee Myers, Diane Myers, Edward Steffek, Laura Truj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illo-Jenks, Jerry Whitworth, Laken Pak, Gina Anderson, Brandon Bush</w:t>
      </w:r>
    </w:p>
    <w:p w14:paraId="00000008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Cathy calling meeting to order at 11:05am</w:t>
      </w:r>
    </w:p>
    <w:p w14:paraId="00000009" w14:textId="77777777" w:rsidR="007C5C3C" w:rsidRDefault="007C5C3C">
      <w:pPr>
        <w:ind w:left="14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A" w14:textId="77777777" w:rsidR="007C5C3C" w:rsidRDefault="0063214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Approval of Minutes--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Septembe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r  7, 2019 Minutes</w:t>
        </w:r>
      </w:hyperlink>
    </w:p>
    <w:p w14:paraId="0000000B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Approved unanimously</w:t>
      </w:r>
    </w:p>
    <w:p w14:paraId="0000000C" w14:textId="77777777" w:rsidR="007C5C3C" w:rsidRDefault="007C5C3C">
      <w:pPr>
        <w:ind w:left="14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D" w14:textId="77777777" w:rsidR="007C5C3C" w:rsidRDefault="0063214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Approval of Agenda</w:t>
      </w:r>
    </w:p>
    <w:p w14:paraId="0000000E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Approved unanimously</w:t>
      </w:r>
    </w:p>
    <w:p w14:paraId="0000000F" w14:textId="77777777" w:rsidR="007C5C3C" w:rsidRDefault="007C5C3C">
      <w:pPr>
        <w:ind w:left="14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0" w14:textId="77777777" w:rsidR="007C5C3C" w:rsidRDefault="0063214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Officer Reports</w:t>
      </w:r>
    </w:p>
    <w:p w14:paraId="00000011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Field Experiences and Clinical Practices Committee--Sarah </w:t>
      </w:r>
    </w:p>
    <w:p w14:paraId="00000012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District personnel, OCP staff, and Brandon/OEPS could not collectively identify a better/different </w:t>
      </w:r>
      <w:r>
        <w:rPr>
          <w:rFonts w:ascii="Times New Roman" w:eastAsia="Times New Roman" w:hAnsi="Times New Roman" w:cs="Times New Roman"/>
          <w:sz w:val="24"/>
          <w:szCs w:val="24"/>
        </w:rPr>
        <w:t>way to streamline placement processes. All processes will remain the same for now.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point of information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3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Both processes (EFE/CST) were reviewed.</w:t>
      </w:r>
    </w:p>
    <w:p w14:paraId="00000014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 on EPP stakeholders participating in MOU signatures </w:t>
      </w:r>
    </w:p>
    <w:p w14:paraId="00000015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get in touch with Gina if you have input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would like to assist: need willing folks to travel and meet with HR representatives face-to-face and get the MOUs signed.  Gina may be reaching out to individuals and willing to help participants understand what their role would look like/how MOU is struc</w:t>
      </w:r>
      <w:r>
        <w:rPr>
          <w:rFonts w:ascii="Times New Roman" w:eastAsia="Times New Roman" w:hAnsi="Times New Roman" w:cs="Times New Roman"/>
          <w:sz w:val="24"/>
          <w:szCs w:val="24"/>
        </w:rPr>
        <w:t>tured (including video addendum).</w:t>
      </w:r>
    </w:p>
    <w:p w14:paraId="00000016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are 22 to be done right now.  There are some exceptions for CST in the Spring (so they’ll need MOUs signed, as well).  </w:t>
      </w:r>
    </w:p>
    <w:p w14:paraId="00000017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Recommendation from FEC: Students in EDUC 3003/EDUC 4000s will be placed for EFEs in a limited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umber of districts and students will be placed in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district (possibly school) for the two consecutive semesters to (a) ensure continuity of experience and (b) provide students with additional teaching time.  Then, students could student teach in th</w:t>
      </w:r>
      <w:r>
        <w:rPr>
          <w:rFonts w:ascii="Times New Roman" w:eastAsia="Times New Roman" w:hAnsi="Times New Roman" w:cs="Times New Roman"/>
          <w:sz w:val="24"/>
          <w:szCs w:val="24"/>
        </w:rPr>
        <w:t>eir district of choice.</w:t>
      </w:r>
    </w:p>
    <w:p w14:paraId="00000018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Discussion: </w:t>
      </w:r>
    </w:p>
    <w:p w14:paraId="00000019" w14:textId="77777777" w:rsidR="007C5C3C" w:rsidRDefault="00632141">
      <w:pPr>
        <w:numPr>
          <w:ilvl w:val="4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it be “district of choice” or one of the 20 pre-approved?</w:t>
      </w:r>
    </w:p>
    <w:p w14:paraId="0000001A" w14:textId="77777777" w:rsidR="007C5C3C" w:rsidRDefault="00632141">
      <w:pPr>
        <w:numPr>
          <w:ilvl w:val="4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Same school may be an issue due to TEA mandate to have diversity of field experiences</w:t>
      </w:r>
    </w:p>
    <w:p w14:paraId="0000001B" w14:textId="77777777" w:rsidR="007C5C3C" w:rsidRDefault="007C5C3C">
      <w:pPr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 in Schools</w:t>
      </w:r>
    </w:p>
    <w:p w14:paraId="0000001D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placed through CIS for EDUC 2003.  CIS may have a more rigorous CBC than the school districts.</w:t>
      </w:r>
    </w:p>
    <w:p w14:paraId="0000001E" w14:textId="77777777" w:rsidR="007C5C3C" w:rsidRDefault="007C5C3C">
      <w:pPr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Education Student Affairs Committee--Diane </w:t>
      </w:r>
    </w:p>
    <w:p w14:paraId="00000020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 Report</w:t>
      </w:r>
    </w:p>
    <w:p w14:paraId="00000021" w14:textId="77777777" w:rsidR="007C5C3C" w:rsidRDefault="007C5C3C">
      <w:pPr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2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Academic Programs Committee--Becky </w:t>
      </w:r>
    </w:p>
    <w:p w14:paraId="00000023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 Report</w:t>
      </w:r>
    </w:p>
    <w:p w14:paraId="00000024" w14:textId="77777777" w:rsidR="007C5C3C" w:rsidRDefault="007C5C3C">
      <w:pPr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5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Dean’s Report</w:t>
      </w:r>
    </w:p>
    <w:p w14:paraId="00000026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 Report</w:t>
      </w:r>
    </w:p>
    <w:p w14:paraId="00000027" w14:textId="77777777" w:rsidR="007C5C3C" w:rsidRDefault="007C5C3C">
      <w:pPr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8" w14:textId="77777777" w:rsidR="007C5C3C" w:rsidRDefault="00632141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Associate Dean/Certifica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tion Officer’s Report</w:t>
      </w:r>
    </w:p>
    <w:p w14:paraId="00000029" w14:textId="77777777" w:rsidR="007C5C3C" w:rsidRDefault="00632141">
      <w:pPr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TAC 228.40(e) EPP Evaluation Plan</w:t>
      </w:r>
    </w:p>
    <w:p w14:paraId="0000002A" w14:textId="77777777" w:rsidR="007C5C3C" w:rsidRDefault="00632141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Mindset of continuous improvement/mock audits.</w:t>
      </w:r>
    </w:p>
    <w:p w14:paraId="0000002B" w14:textId="77777777" w:rsidR="007C5C3C" w:rsidRDefault="00632141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EPPs are required to have an at-a-glance evaluation plan.</w:t>
      </w:r>
    </w:p>
    <w:p w14:paraId="0000002C" w14:textId="77777777" w:rsidR="007C5C3C" w:rsidRDefault="00632141">
      <w:pPr>
        <w:numPr>
          <w:ilvl w:val="4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Five-year evaluation plans, other checkpoints.</w:t>
      </w:r>
    </w:p>
    <w:p w14:paraId="0000002D" w14:textId="77777777" w:rsidR="007C5C3C" w:rsidRDefault="00632141">
      <w:pPr>
        <w:numPr>
          <w:ilvl w:val="4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demonstrate that we’re in a continuous i</w:t>
      </w:r>
      <w:r>
        <w:rPr>
          <w:rFonts w:ascii="Times New Roman" w:eastAsia="Times New Roman" w:hAnsi="Times New Roman" w:cs="Times New Roman"/>
          <w:sz w:val="24"/>
          <w:szCs w:val="24"/>
        </w:rPr>
        <w:t>mprovement mindset and what we’re doing.</w:t>
      </w:r>
    </w:p>
    <w:p w14:paraId="0000002E" w14:textId="77777777" w:rsidR="007C5C3C" w:rsidRDefault="00632141">
      <w:pPr>
        <w:numPr>
          <w:ilvl w:val="4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Recommendations: </w:t>
      </w:r>
    </w:p>
    <w:p w14:paraId="0000002F" w14:textId="77777777" w:rsidR="007C5C3C" w:rsidRDefault="00632141">
      <w:pPr>
        <w:numPr>
          <w:ilvl w:val="4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During next Exec CEP meeting, will create chart for EPP Eval Plan</w:t>
      </w:r>
    </w:p>
    <w:p w14:paraId="00000030" w14:textId="77777777" w:rsidR="007C5C3C" w:rsidRDefault="00632141">
      <w:pPr>
        <w:numPr>
          <w:ilvl w:val="5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will be shared with the full CEP at the next meeting.</w:t>
      </w:r>
    </w:p>
    <w:p w14:paraId="00000031" w14:textId="77777777" w:rsidR="007C5C3C" w:rsidRDefault="00632141">
      <w:pPr>
        <w:numPr>
          <w:ilvl w:val="5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 requirement: at-a-glance document showing how our program is evaluated on a yearly basis.</w:t>
      </w:r>
    </w:p>
    <w:p w14:paraId="00000032" w14:textId="77777777" w:rsidR="007C5C3C" w:rsidRDefault="00632141">
      <w:pPr>
        <w:numPr>
          <w:ilvl w:val="5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need to be done another way; dependent on attendance at next Executive CEP meeting</w:t>
      </w:r>
    </w:p>
    <w:p w14:paraId="00000033" w14:textId="77777777" w:rsidR="007C5C3C" w:rsidRDefault="00632141">
      <w:pPr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TK20 - Use only for required accountability and accreditation reporting   </w:t>
      </w:r>
    </w:p>
    <w:p w14:paraId="00000034" w14:textId="77777777" w:rsidR="007C5C3C" w:rsidRDefault="00632141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 more widespread for all EPP course data (eg., all courses with field </w:t>
      </w:r>
    </w:p>
    <w:p w14:paraId="00000035" w14:textId="77777777" w:rsidR="007C5C3C" w:rsidRDefault="00632141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experience)?</w:t>
      </w:r>
    </w:p>
    <w:p w14:paraId="00000036" w14:textId="77777777" w:rsidR="007C5C3C" w:rsidRDefault="0063214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be using Tk20 across all programs.</w:t>
      </w:r>
    </w:p>
    <w:p w14:paraId="00000037" w14:textId="77777777" w:rsidR="007C5C3C" w:rsidRDefault="0063214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field experiences are being logged in Tk20.</w:t>
      </w:r>
    </w:p>
    <w:p w14:paraId="00000038" w14:textId="77777777" w:rsidR="007C5C3C" w:rsidRDefault="0063214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prepared to move applications, assessments, field experience reporting to T</w:t>
      </w:r>
      <w:r>
        <w:rPr>
          <w:rFonts w:ascii="Times New Roman" w:eastAsia="Times New Roman" w:hAnsi="Times New Roman" w:cs="Times New Roman"/>
          <w:sz w:val="24"/>
          <w:szCs w:val="24"/>
        </w:rPr>
        <w:t>k20 across all programs.</w:t>
      </w:r>
    </w:p>
    <w:p w14:paraId="00000039" w14:textId="77777777" w:rsidR="007C5C3C" w:rsidRDefault="007C5C3C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7C5C3C" w:rsidRDefault="0063214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 TEA GYO Pathway 3, Cycle 3 grant</w:t>
      </w:r>
    </w:p>
    <w:p w14:paraId="0000003B" w14:textId="77777777" w:rsidR="007C5C3C" w:rsidRDefault="00632141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We will apply again; residency will be scaffolded with 90 hours (6-7/week) semester 1 and 14 weeks (8 hours/day)  semester 2.  App due Nov. 15.</w:t>
      </w:r>
    </w:p>
    <w:p w14:paraId="0000003C" w14:textId="77777777" w:rsidR="007C5C3C" w:rsidRDefault="007C5C3C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7C5C3C" w:rsidRDefault="00632141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SBEC meeting update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E" w14:textId="77777777" w:rsidR="007C5C3C" w:rsidRDefault="0063214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PACT (content witho</w:t>
      </w:r>
      <w:r>
        <w:rPr>
          <w:rFonts w:ascii="Times New Roman" w:eastAsia="Times New Roman" w:hAnsi="Times New Roman" w:cs="Times New Roman"/>
          <w:sz w:val="24"/>
          <w:szCs w:val="24"/>
        </w:rPr>
        <w:t>ut pedagogy) implementation date is 1/27/20.</w:t>
      </w:r>
    </w:p>
    <w:p w14:paraId="0000003F" w14:textId="77777777" w:rsidR="007C5C3C" w:rsidRDefault="0063214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considering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extending test attempts from 2 to 3-4 for accountability measure in FA 2020.</w:t>
      </w:r>
    </w:p>
    <w:p w14:paraId="00000040" w14:textId="77777777" w:rsidR="007C5C3C" w:rsidRDefault="0063214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 Rates for Accountability:  85% for PPR; 75% for non-PPR</w:t>
      </w:r>
    </w:p>
    <w:p w14:paraId="00000041" w14:textId="77777777" w:rsidR="007C5C3C" w:rsidRDefault="0063214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TWU officially accredited for 2017-2018; accountability results for 2018-2019 will be ready to share next CEP meeting.</w:t>
      </w:r>
    </w:p>
    <w:p w14:paraId="00000042" w14:textId="77777777" w:rsidR="007C5C3C" w:rsidRDefault="00632141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Officially accredited for 2018-2019</w:t>
      </w:r>
    </w:p>
    <w:p w14:paraId="00000043" w14:textId="77777777" w:rsidR="007C5C3C" w:rsidRDefault="00632141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from 2018-2019 should be available soon (will determine next accreditation status).</w:t>
      </w:r>
    </w:p>
    <w:p w14:paraId="00000044" w14:textId="77777777" w:rsidR="007C5C3C" w:rsidRDefault="0063214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Looking at ways to recognize high-performing EPPs that 1) perform above and beyond ASEP perf. standards; 2) actively recruit candidates for shortage areas, of color, and for rural schools; 3) retention and growth in the field; and 4) innovative prep progra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14:paraId="00000045" w14:textId="77777777" w:rsidR="007C5C3C" w:rsidRDefault="00632141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Think about ways we may be able to be recognized, innovative ideas (e.g., 4 + 1?).</w:t>
      </w:r>
    </w:p>
    <w:p w14:paraId="00000046" w14:textId="77777777" w:rsidR="007C5C3C" w:rsidRDefault="007C5C3C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7C5C3C" w:rsidRDefault="00632141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Parallel Perform. Assessment Pilot Update</w:t>
      </w:r>
    </w:p>
    <w:p w14:paraId="00000048" w14:textId="77777777" w:rsidR="007C5C3C" w:rsidRDefault="00632141">
      <w:pPr>
        <w:numPr>
          <w:ilvl w:val="0"/>
          <w:numId w:val="2"/>
        </w:numPr>
        <w:spacing w:line="240" w:lineRule="auto"/>
        <w:ind w:left="3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CSOTTE meeting on Oct. 28 to finalize; will be item on agenda for Dec. SBEC meeting. </w:t>
      </w:r>
    </w:p>
    <w:p w14:paraId="00000049" w14:textId="77777777" w:rsidR="007C5C3C" w:rsidRDefault="00632141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Gina will have more to share at the </w:t>
      </w:r>
      <w:r>
        <w:rPr>
          <w:rFonts w:ascii="Times New Roman" w:eastAsia="Times New Roman" w:hAnsi="Times New Roman" w:cs="Times New Roman"/>
          <w:sz w:val="24"/>
          <w:szCs w:val="24"/>
        </w:rPr>
        <w:t>next meeting.</w:t>
      </w:r>
    </w:p>
    <w:p w14:paraId="0000004A" w14:textId="77777777" w:rsidR="007C5C3C" w:rsidRDefault="007C5C3C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Director’s Reports</w:t>
      </w:r>
    </w:p>
    <w:p w14:paraId="0000004C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OEPS (Brandon): no report.</w:t>
      </w:r>
    </w:p>
    <w:p w14:paraId="0000004D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OCP (Gina): no report.</w:t>
      </w:r>
    </w:p>
    <w:p w14:paraId="0000004E" w14:textId="77777777" w:rsidR="007C5C3C" w:rsidRDefault="007C5C3C">
      <w:pPr>
        <w:ind w:left="14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F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Chair/Vice-Chair Report</w:t>
      </w:r>
    </w:p>
    <w:p w14:paraId="00000050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Sub-committee list</w:t>
        </w:r>
      </w:hyperlink>
    </w:p>
    <w:p w14:paraId="00000051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Chairs of co</w:t>
      </w:r>
      <w:r>
        <w:rPr>
          <w:rFonts w:ascii="Times New Roman" w:eastAsia="Times New Roman" w:hAnsi="Times New Roman" w:cs="Times New Roman"/>
          <w:sz w:val="24"/>
          <w:szCs w:val="24"/>
        </w:rPr>
        <w:t>mmittees should review lists of people on their committees and determine if the lists are accurate.</w:t>
      </w:r>
    </w:p>
    <w:p w14:paraId="00000052" w14:textId="77777777" w:rsidR="007C5C3C" w:rsidRDefault="007C5C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Term limits list</w:t>
        </w:r>
      </w:hyperlink>
    </w:p>
    <w:p w14:paraId="00000054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list, confi</w:t>
      </w:r>
      <w:r>
        <w:rPr>
          <w:rFonts w:ascii="Times New Roman" w:eastAsia="Times New Roman" w:hAnsi="Times New Roman" w:cs="Times New Roman"/>
          <w:sz w:val="24"/>
          <w:szCs w:val="24"/>
        </w:rPr>
        <w:t>rm that (a) you are on there and (b) accuracy of when you’re rolling off.</w:t>
      </w:r>
    </w:p>
    <w:p w14:paraId="00000055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Discussion: issues with everyone rolling off all at once, may want to consider more staggering of terms.</w:t>
      </w:r>
    </w:p>
    <w:p w14:paraId="00000056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LTJ: will add to bylaws and be discussed at previous meeting.</w:t>
      </w:r>
    </w:p>
    <w:p w14:paraId="00000057" w14:textId="77777777" w:rsidR="007C5C3C" w:rsidRDefault="00632141">
      <w:pPr>
        <w:numPr>
          <w:ilvl w:val="4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Proposed change: one-third of all positions will be eligible for replacement every year.</w:t>
      </w:r>
    </w:p>
    <w:p w14:paraId="00000058" w14:textId="77777777" w:rsidR="007C5C3C" w:rsidRDefault="00632141">
      <w:pPr>
        <w:numPr>
          <w:ilvl w:val="4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commentRangeStart w:id="2"/>
      <w:r>
        <w:rPr>
          <w:rFonts w:ascii="Times New Roman" w:eastAsia="Times New Roman" w:hAnsi="Times New Roman" w:cs="Times New Roman"/>
          <w:sz w:val="24"/>
          <w:szCs w:val="24"/>
        </w:rPr>
        <w:t>LTJ will remind everyone of the review and the bylaw review.</w:t>
      </w:r>
      <w:commentRangeEnd w:id="2"/>
      <w:r>
        <w:commentReference w:id="2"/>
      </w:r>
    </w:p>
    <w:p w14:paraId="00000059" w14:textId="77777777" w:rsidR="007C5C3C" w:rsidRDefault="007C5C3C">
      <w:pPr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18-19 Completer List by Certification Route and Program</w:t>
        </w:r>
      </w:hyperlink>
    </w:p>
    <w:p w14:paraId="0000005B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Completer = someone who has completed the program (i.e., finished all coursework.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some professional certification programs, students may not complete testing but are still program completers).</w:t>
      </w:r>
    </w:p>
    <w:p w14:paraId="0000005C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These data should be used to determine representation on CEP.</w:t>
      </w:r>
    </w:p>
    <w:p w14:paraId="0000005D" w14:textId="77777777" w:rsidR="007C5C3C" w:rsidRDefault="007C5C3C">
      <w:pPr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5E" w14:textId="77777777" w:rsidR="007C5C3C" w:rsidRDefault="0063214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Business</w:t>
      </w:r>
    </w:p>
    <w:p w14:paraId="0000005F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 Business</w:t>
      </w:r>
    </w:p>
    <w:p w14:paraId="00000060" w14:textId="77777777" w:rsidR="007C5C3C" w:rsidRDefault="00632141">
      <w:pPr>
        <w:numPr>
          <w:ilvl w:val="2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CEP By-laws</w:t>
        </w:r>
      </w:hyperlink>
    </w:p>
    <w:p w14:paraId="00000061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Will vote on the updates in November. </w:t>
      </w:r>
    </w:p>
    <w:p w14:paraId="00000062" w14:textId="77777777" w:rsidR="007C5C3C" w:rsidRDefault="00632141">
      <w:pPr>
        <w:numPr>
          <w:ilvl w:val="4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All members to review; will be voting on change</w:t>
      </w:r>
    </w:p>
    <w:p w14:paraId="00000063" w14:textId="77777777" w:rsidR="007C5C3C" w:rsidRDefault="00632141">
      <w:pPr>
        <w:numPr>
          <w:ilvl w:val="3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Student Member--Laken Pak (BSIS), Victoria Walker,, Ed Steffek (Teacher Ed.), Evelyn Dickson</w:t>
      </w:r>
    </w:p>
    <w:p w14:paraId="00000064" w14:textId="77777777" w:rsidR="007C5C3C" w:rsidRDefault="00632141">
      <w:pPr>
        <w:numPr>
          <w:ilvl w:val="4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Curr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ently serving: Victoria, Ed, need at least one more secondary; Becky to check with Evelyn and other student.</w:t>
      </w:r>
    </w:p>
    <w:p w14:paraId="00000065" w14:textId="77777777" w:rsidR="007C5C3C" w:rsidRDefault="00632141">
      <w:pPr>
        <w:numPr>
          <w:ilvl w:val="4"/>
          <w:numId w:val="4"/>
        </w:numPr>
        <w:rPr>
          <w:rFonts w:ascii="Times New Roman" w:eastAsia="Times New Roman" w:hAnsi="Times New Roman" w:cs="Times New Roman"/>
          <w:strike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trike/>
          <w:sz w:val="24"/>
          <w:szCs w:val="24"/>
          <w:highlight w:val="white"/>
        </w:rPr>
        <w:t>From Diane: can Tricia Flint officially replace Ed (who is graduating in December)?  She has served as a proxy before.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(Added in error: Ed Steffek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serving through Dec 2019)</w:t>
      </w:r>
    </w:p>
    <w:p w14:paraId="00000066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Old Business</w:t>
      </w:r>
    </w:p>
    <w:p w14:paraId="00000067" w14:textId="77777777" w:rsidR="007C5C3C" w:rsidRDefault="006321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 Only</w:t>
      </w:r>
    </w:p>
    <w:p w14:paraId="00000068" w14:textId="77777777" w:rsidR="007C5C3C" w:rsidRDefault="007C5C3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7C5C3C" w:rsidRDefault="0063214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0000006A" w14:textId="77777777" w:rsidR="007C5C3C" w:rsidRDefault="00632141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adjourned at 11:40am.</w:t>
      </w:r>
    </w:p>
    <w:p w14:paraId="0000006B" w14:textId="77777777" w:rsidR="007C5C3C" w:rsidRDefault="007C5C3C">
      <w:pPr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6C" w14:textId="77777777" w:rsidR="007C5C3C" w:rsidRDefault="007C5C3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C5C3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Diane Myers" w:date="2019-10-11T16:35:00Z" w:initials="">
    <w:p w14:paraId="0000006D" w14:textId="77777777" w:rsidR="007C5C3C" w:rsidRDefault="006321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+ltrujillojenks@twu.edu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7B9"/>
    <w:multiLevelType w:val="multilevel"/>
    <w:tmpl w:val="03B6B9D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CC362A"/>
    <w:multiLevelType w:val="multilevel"/>
    <w:tmpl w:val="75B886BA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35EB3E0F"/>
    <w:multiLevelType w:val="multilevel"/>
    <w:tmpl w:val="2412415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87E7B09"/>
    <w:multiLevelType w:val="multilevel"/>
    <w:tmpl w:val="B26E95B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C8B678F"/>
    <w:multiLevelType w:val="multilevel"/>
    <w:tmpl w:val="45845976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3C"/>
    <w:rsid w:val="00632141"/>
    <w:rsid w:val="007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30810-46BE-40C5-BB71-D0595E07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1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jdN1PVTl56QYeB_He9YftxOHFEnXXfOl1F6pDk9FzO4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mQDEOApB3B7N7vqlqLFrQODzbG6k8nt40NPWXt7IX_g/edit?usp=sharing" TargetMode="External"/><Relationship Id="rId11" Type="http://schemas.openxmlformats.org/officeDocument/2006/relationships/hyperlink" Target="https://docs.google.com/document/d/1O-fflL3B0MZFh_M2097lq2wPgq02Fj2gImTsCZ7HaZQ/edit?usp=sharing" TargetMode="External"/><Relationship Id="rId5" Type="http://schemas.openxmlformats.org/officeDocument/2006/relationships/hyperlink" Target="https://docs.google.com/document/d/1eGQBgdX_jzqOYZHRwcSVQpjGsgIw9GsFITXKVXXTIlM/edit?usp=sharing" TargetMode="External"/><Relationship Id="rId10" Type="http://schemas.openxmlformats.org/officeDocument/2006/relationships/hyperlink" Target="https://docs.google.com/spreadsheets/d/1mjG1deGlABxqAnpXl2xkHG7JwwY1FyQZ99xzTIBRxbQ/edit?usp=sharing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Nicole CeBallos</cp:lastModifiedBy>
  <cp:revision>2</cp:revision>
  <dcterms:created xsi:type="dcterms:W3CDTF">2019-11-01T17:44:00Z</dcterms:created>
  <dcterms:modified xsi:type="dcterms:W3CDTF">2019-11-01T17:44:00Z</dcterms:modified>
</cp:coreProperties>
</file>