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57" w:rsidRDefault="0005266B">
      <w:pPr>
        <w:contextualSpacing w:val="0"/>
        <w:jc w:val="center"/>
        <w:rPr>
          <w:rFonts w:ascii="Calibri" w:eastAsia="Calibri" w:hAnsi="Calibri" w:cs="Calibri"/>
          <w:b/>
          <w:sz w:val="24"/>
          <w:szCs w:val="24"/>
        </w:rPr>
      </w:pPr>
      <w:bookmarkStart w:id="0" w:name="_gjdgxs" w:colFirst="0" w:colLast="0"/>
      <w:bookmarkStart w:id="1" w:name="_GoBack"/>
      <w:bookmarkEnd w:id="0"/>
      <w:bookmarkEnd w:id="1"/>
      <w:r>
        <w:rPr>
          <w:rFonts w:ascii="Calibri" w:eastAsia="Calibri" w:hAnsi="Calibri" w:cs="Calibri"/>
          <w:b/>
          <w:sz w:val="24"/>
          <w:szCs w:val="24"/>
        </w:rPr>
        <w:t>Council for Educator Preparation</w:t>
      </w:r>
    </w:p>
    <w:p w:rsidR="00AE5357" w:rsidRDefault="0005266B">
      <w:pPr>
        <w:contextualSpacing w:val="0"/>
        <w:jc w:val="center"/>
        <w:rPr>
          <w:rFonts w:ascii="Calibri" w:eastAsia="Calibri" w:hAnsi="Calibri" w:cs="Calibri"/>
          <w:i/>
          <w:sz w:val="24"/>
          <w:szCs w:val="24"/>
        </w:rPr>
      </w:pPr>
      <w:r>
        <w:rPr>
          <w:rFonts w:ascii="Calibri" w:eastAsia="Calibri" w:hAnsi="Calibri" w:cs="Calibri"/>
          <w:sz w:val="24"/>
          <w:szCs w:val="24"/>
        </w:rPr>
        <w:t xml:space="preserve">Meeting Agenda </w:t>
      </w:r>
    </w:p>
    <w:p w:rsidR="00AE5357" w:rsidRDefault="0005266B">
      <w:pPr>
        <w:contextualSpacing w:val="0"/>
        <w:jc w:val="center"/>
        <w:rPr>
          <w:rFonts w:ascii="Calibri" w:eastAsia="Calibri" w:hAnsi="Calibri" w:cs="Calibri"/>
          <w:sz w:val="24"/>
          <w:szCs w:val="24"/>
          <w:highlight w:val="white"/>
        </w:rPr>
      </w:pPr>
      <w:r>
        <w:rPr>
          <w:rFonts w:ascii="Calibri" w:eastAsia="Calibri" w:hAnsi="Calibri" w:cs="Calibri"/>
          <w:sz w:val="24"/>
          <w:szCs w:val="24"/>
          <w:highlight w:val="white"/>
        </w:rPr>
        <w:t>October 5, 2018</w:t>
      </w:r>
    </w:p>
    <w:p w:rsidR="00AE5357" w:rsidRDefault="0005266B">
      <w:pPr>
        <w:contextualSpacing w:val="0"/>
        <w:jc w:val="center"/>
        <w:rPr>
          <w:rFonts w:ascii="Calibri" w:eastAsia="Calibri" w:hAnsi="Calibri" w:cs="Calibri"/>
          <w:sz w:val="24"/>
          <w:szCs w:val="24"/>
          <w:highlight w:val="white"/>
        </w:rPr>
      </w:pPr>
      <w:r>
        <w:rPr>
          <w:rFonts w:ascii="Calibri" w:eastAsia="Calibri" w:hAnsi="Calibri" w:cs="Calibri"/>
          <w:sz w:val="24"/>
          <w:szCs w:val="24"/>
          <w:highlight w:val="white"/>
        </w:rPr>
        <w:t>11:30-1:00</w:t>
      </w:r>
    </w:p>
    <w:p w:rsidR="00AE5357" w:rsidRDefault="0005266B">
      <w:pPr>
        <w:contextualSpacing w:val="0"/>
        <w:jc w:val="center"/>
        <w:rPr>
          <w:rFonts w:ascii="Calibri" w:eastAsia="Calibri" w:hAnsi="Calibri" w:cs="Calibri"/>
          <w:sz w:val="24"/>
          <w:szCs w:val="24"/>
        </w:rPr>
      </w:pPr>
      <w:r>
        <w:rPr>
          <w:rFonts w:ascii="Calibri" w:eastAsia="Calibri" w:hAnsi="Calibri" w:cs="Calibri"/>
          <w:sz w:val="24"/>
          <w:szCs w:val="24"/>
        </w:rPr>
        <w:t>Stoddard Hall 202A</w:t>
      </w:r>
    </w:p>
    <w:p w:rsidR="00AE5357" w:rsidRDefault="0005266B">
      <w:pPr>
        <w:contextualSpacing w:val="0"/>
        <w:rPr>
          <w:rFonts w:ascii="Calibri" w:eastAsia="Calibri" w:hAnsi="Calibri" w:cs="Calibri"/>
          <w:sz w:val="24"/>
          <w:szCs w:val="24"/>
          <w:highlight w:val="white"/>
        </w:rPr>
      </w:pPr>
      <w:r>
        <w:rPr>
          <w:rFonts w:ascii="Calibri" w:eastAsia="Calibri" w:hAnsi="Calibri" w:cs="Calibri"/>
          <w:sz w:val="24"/>
          <w:szCs w:val="24"/>
          <w:highlight w:val="white"/>
        </w:rPr>
        <w:t xml:space="preserve">Present: </w:t>
      </w:r>
    </w:p>
    <w:p w:rsidR="00AE5357" w:rsidRDefault="0005266B">
      <w:pPr>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 xml:space="preserve">Call to order and attendance: </w:t>
      </w:r>
    </w:p>
    <w:p w:rsidR="00AE5357" w:rsidRDefault="0005266B">
      <w:pPr>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Approval of Minutes</w:t>
      </w:r>
    </w:p>
    <w:p w:rsidR="00AE5357" w:rsidRDefault="0005266B">
      <w:pPr>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Approval of Agenda</w:t>
      </w:r>
    </w:p>
    <w:p w:rsidR="00AE5357" w:rsidRDefault="0005266B">
      <w:pPr>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Officer Reports</w:t>
      </w:r>
    </w:p>
    <w:p w:rsidR="00AE5357" w:rsidRDefault="0005266B">
      <w:pPr>
        <w:numPr>
          <w:ilvl w:val="1"/>
          <w:numId w:val="1"/>
        </w:numPr>
        <w:rPr>
          <w:rFonts w:ascii="Calibri" w:eastAsia="Calibri" w:hAnsi="Calibri" w:cs="Calibri"/>
          <w:sz w:val="24"/>
          <w:szCs w:val="24"/>
          <w:highlight w:val="white"/>
        </w:rPr>
      </w:pPr>
      <w:hyperlink r:id="rId5">
        <w:r>
          <w:rPr>
            <w:rFonts w:ascii="Calibri" w:eastAsia="Calibri" w:hAnsi="Calibri" w:cs="Calibri"/>
            <w:color w:val="1155CC"/>
            <w:sz w:val="24"/>
            <w:szCs w:val="24"/>
            <w:highlight w:val="white"/>
            <w:u w:val="single"/>
          </w:rPr>
          <w:t>Field Experiences and Clinical Practices Committee</w:t>
        </w:r>
      </w:hyperlink>
      <w:r>
        <w:rPr>
          <w:rFonts w:ascii="Calibri" w:eastAsia="Calibri" w:hAnsi="Calibri" w:cs="Calibri"/>
          <w:sz w:val="24"/>
          <w:szCs w:val="24"/>
          <w:highlight w:val="white"/>
        </w:rPr>
        <w:t>--</w:t>
      </w:r>
      <w:hyperlink r:id="rId6">
        <w:r>
          <w:rPr>
            <w:rFonts w:ascii="Calibri" w:eastAsia="Calibri" w:hAnsi="Calibri" w:cs="Calibri"/>
            <w:color w:val="1155CC"/>
            <w:sz w:val="24"/>
            <w:szCs w:val="24"/>
            <w:highlight w:val="white"/>
            <w:u w:val="single"/>
          </w:rPr>
          <w:t>Sarah</w:t>
        </w:r>
      </w:hyperlink>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Educat</w:t>
      </w:r>
      <w:r>
        <w:rPr>
          <w:rFonts w:ascii="Calibri" w:eastAsia="Calibri" w:hAnsi="Calibri" w:cs="Calibri"/>
          <w:sz w:val="24"/>
          <w:szCs w:val="24"/>
          <w:highlight w:val="white"/>
        </w:rPr>
        <w:t>ion Student Affairs Committee--Diane</w:t>
      </w:r>
    </w:p>
    <w:p w:rsidR="00AE5357" w:rsidRDefault="0005266B">
      <w:pPr>
        <w:numPr>
          <w:ilvl w:val="2"/>
          <w:numId w:val="1"/>
        </w:numPr>
        <w:rPr>
          <w:rFonts w:ascii="Calibri" w:eastAsia="Calibri" w:hAnsi="Calibri" w:cs="Calibri"/>
          <w:sz w:val="24"/>
          <w:szCs w:val="24"/>
          <w:highlight w:val="white"/>
        </w:rPr>
      </w:pPr>
      <w:r>
        <w:rPr>
          <w:rFonts w:ascii="Calibri" w:eastAsia="Calibri" w:hAnsi="Calibri" w:cs="Calibri"/>
          <w:sz w:val="24"/>
          <w:szCs w:val="24"/>
          <w:highlight w:val="white"/>
        </w:rPr>
        <w:t xml:space="preserve">Testing Policy for Professional Certs is </w:t>
      </w:r>
      <w:hyperlink r:id="rId7">
        <w:r>
          <w:rPr>
            <w:rFonts w:ascii="Calibri" w:eastAsia="Calibri" w:hAnsi="Calibri" w:cs="Calibri"/>
            <w:color w:val="1155CC"/>
            <w:sz w:val="24"/>
            <w:szCs w:val="24"/>
            <w:highlight w:val="white"/>
            <w:u w:val="single"/>
          </w:rPr>
          <w:t>live</w:t>
        </w:r>
      </w:hyperlink>
    </w:p>
    <w:p w:rsidR="00AE5357" w:rsidRDefault="0005266B">
      <w:pPr>
        <w:numPr>
          <w:ilvl w:val="2"/>
          <w:numId w:val="1"/>
        </w:numPr>
        <w:rPr>
          <w:rFonts w:ascii="Calibri" w:eastAsia="Calibri" w:hAnsi="Calibri" w:cs="Calibri"/>
          <w:sz w:val="24"/>
          <w:szCs w:val="24"/>
          <w:highlight w:val="white"/>
        </w:rPr>
      </w:pPr>
      <w:r>
        <w:rPr>
          <w:rFonts w:ascii="Calibri" w:eastAsia="Calibri" w:hAnsi="Calibri" w:cs="Calibri"/>
          <w:sz w:val="24"/>
          <w:szCs w:val="24"/>
          <w:highlight w:val="white"/>
        </w:rPr>
        <w:t>Blocking ELDR course access unless student is enrolled in principal c</w:t>
      </w:r>
      <w:r>
        <w:rPr>
          <w:rFonts w:ascii="Calibri" w:eastAsia="Calibri" w:hAnsi="Calibri" w:cs="Calibri"/>
          <w:sz w:val="24"/>
          <w:szCs w:val="24"/>
          <w:highlight w:val="white"/>
        </w:rPr>
        <w:t>ertification program; can override after double-checking.  Will be doing the same for EDSP 5833 and 5843.</w:t>
      </w:r>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 xml:space="preserve">Academic Programs Committee--Becky </w:t>
      </w:r>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Dean’s Report</w:t>
      </w:r>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Chair/Vice Chair Report</w:t>
      </w:r>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Directors’ Reports</w:t>
      </w:r>
    </w:p>
    <w:p w:rsidR="00AE5357" w:rsidRDefault="0005266B">
      <w:pPr>
        <w:numPr>
          <w:ilvl w:val="0"/>
          <w:numId w:val="1"/>
        </w:numPr>
        <w:rPr>
          <w:rFonts w:ascii="Calibri" w:eastAsia="Calibri" w:hAnsi="Calibri" w:cs="Calibri"/>
          <w:sz w:val="24"/>
          <w:szCs w:val="24"/>
          <w:highlight w:val="white"/>
        </w:rPr>
      </w:pPr>
      <w:r>
        <w:rPr>
          <w:rFonts w:ascii="Calibri" w:eastAsia="Calibri" w:hAnsi="Calibri" w:cs="Calibri"/>
          <w:sz w:val="24"/>
          <w:szCs w:val="24"/>
          <w:highlight w:val="white"/>
        </w:rPr>
        <w:t>Business</w:t>
      </w:r>
    </w:p>
    <w:p w:rsidR="00AE5357" w:rsidRDefault="0005266B">
      <w:pPr>
        <w:numPr>
          <w:ilvl w:val="1"/>
          <w:numId w:val="1"/>
        </w:numPr>
        <w:rPr>
          <w:rFonts w:ascii="Calibri" w:eastAsia="Calibri" w:hAnsi="Calibri" w:cs="Calibri"/>
          <w:sz w:val="24"/>
          <w:szCs w:val="24"/>
          <w:highlight w:val="white"/>
        </w:rPr>
      </w:pPr>
      <w:r>
        <w:rPr>
          <w:rFonts w:ascii="Calibri" w:eastAsia="Calibri" w:hAnsi="Calibri" w:cs="Calibri"/>
          <w:sz w:val="24"/>
          <w:szCs w:val="24"/>
          <w:highlight w:val="white"/>
        </w:rPr>
        <w:t>Old Business</w:t>
      </w:r>
    </w:p>
    <w:p w:rsidR="00AE5357" w:rsidRDefault="0005266B">
      <w:pPr>
        <w:numPr>
          <w:ilvl w:val="2"/>
          <w:numId w:val="1"/>
        </w:numPr>
        <w:rPr>
          <w:rFonts w:ascii="Calibri" w:eastAsia="Calibri" w:hAnsi="Calibri" w:cs="Calibri"/>
          <w:sz w:val="24"/>
          <w:szCs w:val="24"/>
          <w:highlight w:val="white"/>
        </w:rPr>
      </w:pPr>
      <w:hyperlink r:id="rId8">
        <w:r>
          <w:rPr>
            <w:rFonts w:ascii="Calibri" w:eastAsia="Calibri" w:hAnsi="Calibri" w:cs="Calibri"/>
            <w:color w:val="1155CC"/>
            <w:sz w:val="24"/>
            <w:szCs w:val="24"/>
            <w:highlight w:val="white"/>
            <w:u w:val="single"/>
          </w:rPr>
          <w:t>CEP By-laws</w:t>
        </w:r>
      </w:hyperlink>
    </w:p>
    <w:p w:rsidR="00AE5357" w:rsidRDefault="0005266B">
      <w:pPr>
        <w:numPr>
          <w:ilvl w:val="3"/>
          <w:numId w:val="1"/>
        </w:numPr>
        <w:rPr>
          <w:rFonts w:ascii="Calibri" w:eastAsia="Calibri" w:hAnsi="Calibri" w:cs="Calibri"/>
          <w:sz w:val="24"/>
          <w:szCs w:val="24"/>
          <w:highlight w:val="white"/>
        </w:rPr>
      </w:pPr>
      <w:r>
        <w:rPr>
          <w:rFonts w:ascii="Calibri" w:eastAsia="Calibri" w:hAnsi="Calibri" w:cs="Calibri"/>
          <w:sz w:val="24"/>
          <w:szCs w:val="24"/>
          <w:highlight w:val="white"/>
        </w:rPr>
        <w:t>CEP Executive Committee met on October 1st at 9:00am to work on Bylaws and all CEP members will be emailed the Bylaws to review an</w:t>
      </w:r>
      <w:r>
        <w:rPr>
          <w:rFonts w:ascii="Calibri" w:eastAsia="Calibri" w:hAnsi="Calibri" w:cs="Calibri"/>
          <w:sz w:val="24"/>
          <w:szCs w:val="24"/>
          <w:highlight w:val="white"/>
        </w:rPr>
        <w:t xml:space="preserve">d recommend changes.  A vote to approve the By-laws will occur in November. </w:t>
      </w:r>
    </w:p>
    <w:p w:rsidR="00AE5357" w:rsidRDefault="0005266B">
      <w:pPr>
        <w:numPr>
          <w:ilvl w:val="1"/>
          <w:numId w:val="1"/>
        </w:numPr>
        <w:rPr>
          <w:rFonts w:ascii="Calibri" w:eastAsia="Calibri" w:hAnsi="Calibri" w:cs="Calibri"/>
          <w:sz w:val="24"/>
          <w:szCs w:val="24"/>
        </w:rPr>
      </w:pPr>
      <w:r>
        <w:rPr>
          <w:rFonts w:ascii="Calibri" w:eastAsia="Calibri" w:hAnsi="Calibri" w:cs="Calibri"/>
          <w:sz w:val="24"/>
          <w:szCs w:val="24"/>
        </w:rPr>
        <w:t>New Business</w:t>
      </w:r>
    </w:p>
    <w:p w:rsidR="00AE5357" w:rsidRDefault="0005266B">
      <w:pPr>
        <w:numPr>
          <w:ilvl w:val="2"/>
          <w:numId w:val="1"/>
        </w:numPr>
        <w:rPr>
          <w:rFonts w:ascii="Calibri" w:eastAsia="Calibri" w:hAnsi="Calibri" w:cs="Calibri"/>
          <w:sz w:val="24"/>
          <w:szCs w:val="24"/>
        </w:rPr>
      </w:pPr>
      <w:r>
        <w:rPr>
          <w:rFonts w:ascii="Calibri" w:eastAsia="Calibri" w:hAnsi="Calibri" w:cs="Calibri"/>
          <w:sz w:val="24"/>
          <w:szCs w:val="24"/>
        </w:rPr>
        <w:t xml:space="preserve">TEA - SBEC Meeting today </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Set Principal Satisfaction Survey performance standard to 70% with no future increases.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Set non-PPR pass rates to 75% with no future increas</w:t>
      </w:r>
      <w:r>
        <w:rPr>
          <w:rFonts w:ascii="Calibri" w:eastAsia="Calibri" w:hAnsi="Calibri" w:cs="Calibri"/>
          <w:sz w:val="24"/>
          <w:szCs w:val="24"/>
        </w:rPr>
        <w:t>es.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Jan 1, 2020; undergrads may PACT.</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Sept 1, 2020; updated exams for PE, ESL, 4-8 ELAR. Updated in that the exams will have additions content pedagogy items.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Sept 1, 2021; replace PPR with EdTPA. Updated exams: Bilingual, BTLPT, and 7-12 ELAR</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Nov 1, 2021; updated exams for SPED, TASC, and DHH</w:t>
      </w:r>
    </w:p>
    <w:p w:rsidR="00AE5357" w:rsidRDefault="0005266B">
      <w:pPr>
        <w:numPr>
          <w:ilvl w:val="1"/>
          <w:numId w:val="1"/>
        </w:numPr>
        <w:rPr>
          <w:rFonts w:ascii="Calibri" w:eastAsia="Calibri" w:hAnsi="Calibri" w:cs="Calibri"/>
          <w:sz w:val="24"/>
          <w:szCs w:val="24"/>
        </w:rPr>
      </w:pPr>
      <w:r>
        <w:rPr>
          <w:rFonts w:ascii="Calibri" w:eastAsia="Calibri" w:hAnsi="Calibri" w:cs="Calibri"/>
          <w:sz w:val="24"/>
          <w:szCs w:val="24"/>
        </w:rPr>
        <w:lastRenderedPageBreak/>
        <w:t>Post-TEA Audit Reflection</w:t>
      </w:r>
    </w:p>
    <w:p w:rsidR="00AE5357" w:rsidRDefault="0005266B">
      <w:pPr>
        <w:numPr>
          <w:ilvl w:val="2"/>
          <w:numId w:val="1"/>
        </w:numPr>
        <w:rPr>
          <w:rFonts w:ascii="Calibri" w:eastAsia="Calibri" w:hAnsi="Calibri" w:cs="Calibri"/>
          <w:sz w:val="24"/>
          <w:szCs w:val="24"/>
        </w:rPr>
      </w:pPr>
      <w:r>
        <w:rPr>
          <w:rFonts w:ascii="Calibri" w:eastAsia="Calibri" w:hAnsi="Calibri" w:cs="Calibri"/>
          <w:sz w:val="24"/>
          <w:szCs w:val="24"/>
        </w:rPr>
        <w:t>Benchmarks alignment with transcript</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Formal Admission - Professional Certification</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Test Readiness</w:t>
      </w:r>
    </w:p>
    <w:p w:rsidR="00AE5357" w:rsidRDefault="0005266B">
      <w:pPr>
        <w:numPr>
          <w:ilvl w:val="2"/>
          <w:numId w:val="1"/>
        </w:numPr>
        <w:rPr>
          <w:rFonts w:ascii="Calibri" w:eastAsia="Calibri" w:hAnsi="Calibri" w:cs="Calibri"/>
          <w:sz w:val="24"/>
          <w:szCs w:val="24"/>
        </w:rPr>
      </w:pPr>
      <w:r>
        <w:rPr>
          <w:rFonts w:ascii="Calibri" w:eastAsia="Calibri" w:hAnsi="Calibri" w:cs="Calibri"/>
          <w:sz w:val="24"/>
          <w:szCs w:val="24"/>
        </w:rPr>
        <w:t>Field Experiences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Unqualified field supervisors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Untrained site and field supervis</w:t>
      </w:r>
      <w:r>
        <w:rPr>
          <w:rFonts w:ascii="Calibri" w:eastAsia="Calibri" w:hAnsi="Calibri" w:cs="Calibri"/>
          <w:sz w:val="24"/>
          <w:szCs w:val="24"/>
        </w:rPr>
        <w:t>ors</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Missing field experience documents</w:t>
      </w:r>
    </w:p>
    <w:p w:rsidR="00AE5357" w:rsidRDefault="0005266B">
      <w:pPr>
        <w:numPr>
          <w:ilvl w:val="2"/>
          <w:numId w:val="1"/>
        </w:numPr>
        <w:rPr>
          <w:rFonts w:ascii="Calibri" w:eastAsia="Calibri" w:hAnsi="Calibri" w:cs="Calibri"/>
          <w:sz w:val="24"/>
          <w:szCs w:val="24"/>
        </w:rPr>
      </w:pPr>
      <w:r>
        <w:rPr>
          <w:rFonts w:ascii="Calibri" w:eastAsia="Calibri" w:hAnsi="Calibri" w:cs="Calibri"/>
          <w:sz w:val="24"/>
          <w:szCs w:val="24"/>
        </w:rPr>
        <w:t>Tk20 Adoption Timeline---SP 2019 pilot</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EPP Admission Status</w:t>
      </w:r>
    </w:p>
    <w:p w:rsidR="00AE5357" w:rsidRDefault="0005266B">
      <w:pPr>
        <w:numPr>
          <w:ilvl w:val="4"/>
          <w:numId w:val="1"/>
        </w:numPr>
        <w:rPr>
          <w:rFonts w:ascii="Calibri" w:eastAsia="Calibri" w:hAnsi="Calibri" w:cs="Calibri"/>
          <w:sz w:val="24"/>
          <w:szCs w:val="24"/>
        </w:rPr>
      </w:pPr>
      <w:r>
        <w:rPr>
          <w:rFonts w:ascii="Calibri" w:eastAsia="Calibri" w:hAnsi="Calibri" w:cs="Calibri"/>
          <w:sz w:val="24"/>
          <w:szCs w:val="24"/>
        </w:rPr>
        <w:t>As soon as Colleague data are uploaded to Tk20 and UG/MAT students have Tk20 accounts, EPP applicants may log into Tk20 and check the status of their EPP app</w:t>
      </w:r>
      <w:r>
        <w:rPr>
          <w:rFonts w:ascii="Calibri" w:eastAsia="Calibri" w:hAnsi="Calibri" w:cs="Calibri"/>
          <w:sz w:val="24"/>
          <w:szCs w:val="24"/>
        </w:rPr>
        <w:t>lication. It will look similar to this:</w:t>
      </w:r>
    </w:p>
    <w:p w:rsidR="00AE5357" w:rsidRDefault="00AE5357">
      <w:pPr>
        <w:contextualSpacing w:val="0"/>
        <w:rPr>
          <w:rFonts w:ascii="Calibri" w:eastAsia="Calibri" w:hAnsi="Calibri" w:cs="Calibri"/>
          <w:sz w:val="24"/>
          <w:szCs w:val="24"/>
        </w:rPr>
      </w:pPr>
    </w:p>
    <w:p w:rsidR="00AE5357" w:rsidRDefault="0005266B">
      <w:pPr>
        <w:contextualSpacing w:val="0"/>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extent cx="3790950" cy="2857500"/>
            <wp:effectExtent l="12700" t="12700" r="12700" b="127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27710"/>
                    <a:stretch>
                      <a:fillRect/>
                    </a:stretch>
                  </pic:blipFill>
                  <pic:spPr>
                    <a:xfrm>
                      <a:off x="0" y="0"/>
                      <a:ext cx="3790950" cy="2857500"/>
                    </a:xfrm>
                    <a:prstGeom prst="rect">
                      <a:avLst/>
                    </a:prstGeom>
                    <a:ln w="12700">
                      <a:solidFill>
                        <a:srgbClr val="000000"/>
                      </a:solidFill>
                      <a:prstDash val="solid"/>
                    </a:ln>
                  </pic:spPr>
                </pic:pic>
              </a:graphicData>
            </a:graphic>
          </wp:inline>
        </w:drawing>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Time Logs</w:t>
      </w:r>
    </w:p>
    <w:p w:rsidR="00AE5357" w:rsidRDefault="0005266B">
      <w:pPr>
        <w:numPr>
          <w:ilvl w:val="4"/>
          <w:numId w:val="1"/>
        </w:numPr>
        <w:rPr>
          <w:rFonts w:ascii="Calibri" w:eastAsia="Calibri" w:hAnsi="Calibri" w:cs="Calibri"/>
          <w:sz w:val="24"/>
          <w:szCs w:val="24"/>
        </w:rPr>
      </w:pPr>
      <w:r>
        <w:rPr>
          <w:rFonts w:ascii="Calibri" w:eastAsia="Calibri" w:hAnsi="Calibri" w:cs="Calibri"/>
          <w:sz w:val="24"/>
          <w:szCs w:val="24"/>
        </w:rPr>
        <w:t>EDUC 4000s</w:t>
      </w:r>
    </w:p>
    <w:p w:rsidR="00AE5357" w:rsidRDefault="0005266B">
      <w:pPr>
        <w:numPr>
          <w:ilvl w:val="4"/>
          <w:numId w:val="1"/>
        </w:numPr>
        <w:rPr>
          <w:rFonts w:ascii="Calibri" w:eastAsia="Calibri" w:hAnsi="Calibri" w:cs="Calibri"/>
          <w:sz w:val="24"/>
          <w:szCs w:val="24"/>
        </w:rPr>
      </w:pPr>
      <w:r>
        <w:rPr>
          <w:rFonts w:ascii="Calibri" w:eastAsia="Calibri" w:hAnsi="Calibri" w:cs="Calibri"/>
          <w:sz w:val="24"/>
          <w:szCs w:val="24"/>
        </w:rPr>
        <w:t>LS 5843 - School Librarian</w:t>
      </w:r>
    </w:p>
    <w:p w:rsidR="00AE5357" w:rsidRDefault="0005266B">
      <w:pPr>
        <w:numPr>
          <w:ilvl w:val="4"/>
          <w:numId w:val="1"/>
        </w:numPr>
        <w:rPr>
          <w:rFonts w:ascii="Calibri" w:eastAsia="Calibri" w:hAnsi="Calibri" w:cs="Calibri"/>
          <w:sz w:val="24"/>
          <w:szCs w:val="24"/>
        </w:rPr>
      </w:pPr>
      <w:r>
        <w:rPr>
          <w:rFonts w:ascii="Calibri" w:eastAsia="Calibri" w:hAnsi="Calibri" w:cs="Calibri"/>
          <w:sz w:val="24"/>
          <w:szCs w:val="24"/>
        </w:rPr>
        <w:t>EDSP 5863 - Ed. Diag Practicum</w:t>
      </w:r>
    </w:p>
    <w:p w:rsidR="00AE5357" w:rsidRDefault="0005266B">
      <w:pPr>
        <w:numPr>
          <w:ilvl w:val="3"/>
          <w:numId w:val="1"/>
        </w:numPr>
        <w:rPr>
          <w:rFonts w:ascii="Calibri" w:eastAsia="Calibri" w:hAnsi="Calibri" w:cs="Calibri"/>
          <w:sz w:val="24"/>
          <w:szCs w:val="24"/>
        </w:rPr>
      </w:pPr>
      <w:r>
        <w:rPr>
          <w:rFonts w:ascii="Calibri" w:eastAsia="Calibri" w:hAnsi="Calibri" w:cs="Calibri"/>
          <w:sz w:val="24"/>
          <w:szCs w:val="24"/>
        </w:rPr>
        <w:t>Fall 19 Student Teaching Application</w:t>
      </w:r>
    </w:p>
    <w:p w:rsidR="00AE5357" w:rsidRDefault="0005266B">
      <w:pPr>
        <w:numPr>
          <w:ilvl w:val="4"/>
          <w:numId w:val="1"/>
        </w:numPr>
        <w:rPr>
          <w:rFonts w:ascii="Calibri" w:eastAsia="Calibri" w:hAnsi="Calibri" w:cs="Calibri"/>
          <w:sz w:val="24"/>
          <w:szCs w:val="24"/>
        </w:rPr>
      </w:pPr>
      <w:r>
        <w:rPr>
          <w:rFonts w:ascii="Calibri" w:eastAsia="Calibri" w:hAnsi="Calibri" w:cs="Calibri"/>
          <w:sz w:val="24"/>
          <w:szCs w:val="24"/>
        </w:rPr>
        <w:t>EDUC 4000s will already have Tk20 accounts so additional may be needed for MAT/PB who are ready to student teach</w:t>
      </w:r>
    </w:p>
    <w:p w:rsidR="00AE5357" w:rsidRDefault="0005266B">
      <w:pPr>
        <w:numPr>
          <w:ilvl w:val="2"/>
          <w:numId w:val="1"/>
        </w:numPr>
        <w:rPr>
          <w:rFonts w:ascii="Calibri" w:eastAsia="Calibri" w:hAnsi="Calibri" w:cs="Calibri"/>
          <w:sz w:val="24"/>
          <w:szCs w:val="24"/>
        </w:rPr>
      </w:pPr>
      <w:r>
        <w:rPr>
          <w:rFonts w:ascii="Calibri" w:eastAsia="Calibri" w:hAnsi="Calibri" w:cs="Calibri"/>
          <w:color w:val="212121"/>
        </w:rPr>
        <w:t xml:space="preserve"> In anticipation of TAC 228.30(c)(8) “requiring the curriculum for all certification classes to include instruction in digital learning” becomi</w:t>
      </w:r>
      <w:r>
        <w:rPr>
          <w:rFonts w:ascii="Calibri" w:eastAsia="Calibri" w:hAnsi="Calibri" w:cs="Calibri"/>
          <w:color w:val="212121"/>
        </w:rPr>
        <w:t xml:space="preserve">ng rule, below are the </w:t>
      </w:r>
      <w:r>
        <w:rPr>
          <w:rFonts w:ascii="Calibri" w:eastAsia="Calibri" w:hAnsi="Calibri" w:cs="Calibri"/>
          <w:color w:val="212121"/>
        </w:rPr>
        <w:lastRenderedPageBreak/>
        <w:t>links to the pre- and post-assessments of the digital literacy exam that was vetted by the DTE faculty. Here is the game plan, I’ll update the EPP applications to include the pre-assessments links once TAC 228.30 is statute and we in</w:t>
      </w:r>
      <w:r>
        <w:rPr>
          <w:rFonts w:ascii="Calibri" w:eastAsia="Calibri" w:hAnsi="Calibri" w:cs="Calibri"/>
          <w:color w:val="212121"/>
        </w:rPr>
        <w:t>form all program coordinators of the change. We will not offer acceptance to the EPP until the applicant meets all requirements for admission including the Digital Literacy pre-assessment. I’ve requested two new doc-types for OnBase so we can easily file t</w:t>
      </w:r>
      <w:r>
        <w:rPr>
          <w:rFonts w:ascii="Calibri" w:eastAsia="Calibri" w:hAnsi="Calibri" w:cs="Calibri"/>
          <w:color w:val="212121"/>
        </w:rPr>
        <w:t xml:space="preserve">he students results in their student file. Finally, the post-assessment will have to take place during student teaching, internship, or practicum. Linda will not recommend a student for certification until the post-assessment is complete. </w:t>
      </w: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54"/>
        <w:gridCol w:w="3212"/>
        <w:gridCol w:w="3224"/>
        <w:gridCol w:w="1870"/>
      </w:tblGrid>
      <w:tr w:rsidR="00AE5357">
        <w:trPr>
          <w:trHeight w:val="280"/>
        </w:trPr>
        <w:tc>
          <w:tcPr>
            <w:tcW w:w="105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Route</w:t>
            </w:r>
          </w:p>
        </w:tc>
        <w:tc>
          <w:tcPr>
            <w:tcW w:w="321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Pre-Assessment</w:t>
            </w:r>
          </w:p>
        </w:tc>
        <w:tc>
          <w:tcPr>
            <w:tcW w:w="322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Post-Assessment</w:t>
            </w:r>
          </w:p>
        </w:tc>
        <w:tc>
          <w:tcPr>
            <w:tcW w:w="186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Email Address Sent</w:t>
            </w:r>
          </w:p>
        </w:tc>
      </w:tr>
      <w:tr w:rsidR="00AE5357">
        <w:trPr>
          <w:trHeight w:val="560"/>
        </w:trPr>
        <w:tc>
          <w:tcPr>
            <w:tcW w:w="105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Initial Certification</w:t>
            </w:r>
          </w:p>
        </w:tc>
        <w:tc>
          <w:tcPr>
            <w:tcW w:w="3211"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1155CC"/>
                <w:u w:val="single"/>
              </w:rPr>
            </w:pPr>
            <w:r>
              <w:fldChar w:fldCharType="begin"/>
            </w:r>
            <w:r>
              <w:instrText xml:space="preserve"> HYPERLINK "https://goo.gl/forms/j1xbhDkzTdfiQGQ02" </w:instrText>
            </w:r>
            <w:r>
              <w:fldChar w:fldCharType="separate"/>
            </w:r>
            <w:r>
              <w:rPr>
                <w:rFonts w:ascii="Calibri" w:eastAsia="Calibri" w:hAnsi="Calibri" w:cs="Calibri"/>
                <w:color w:val="1155CC"/>
                <w:u w:val="single"/>
              </w:rPr>
              <w:t>https://goo.gl/forms/j1xbhDkzTdfiQGQ02</w:t>
            </w:r>
          </w:p>
        </w:tc>
        <w:tc>
          <w:tcPr>
            <w:tcW w:w="3223"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1155CC"/>
                <w:u w:val="single"/>
              </w:rPr>
            </w:pPr>
            <w:r>
              <w:fldChar w:fldCharType="end"/>
            </w:r>
            <w:r>
              <w:fldChar w:fldCharType="begin"/>
            </w:r>
            <w:r>
              <w:instrText xml:space="preserve"> HYPERLINK "https://goo.gl/forms/IiL385LWCyzBavH12" </w:instrText>
            </w:r>
            <w:r>
              <w:fldChar w:fldCharType="separate"/>
            </w:r>
            <w:r>
              <w:rPr>
                <w:rFonts w:ascii="Calibri" w:eastAsia="Calibri" w:hAnsi="Calibri" w:cs="Calibri"/>
                <w:color w:val="1155CC"/>
                <w:u w:val="single"/>
              </w:rPr>
              <w:t>https://goo.gl/forms/IiL385LWCyzBavH1</w:t>
            </w:r>
            <w:r>
              <w:rPr>
                <w:rFonts w:ascii="Calibri" w:eastAsia="Calibri" w:hAnsi="Calibri" w:cs="Calibri"/>
                <w:color w:val="1155CC"/>
                <w:u w:val="single"/>
              </w:rPr>
              <w:t>2</w:t>
            </w:r>
          </w:p>
        </w:tc>
        <w:tc>
          <w:tcPr>
            <w:tcW w:w="1869"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fldChar w:fldCharType="end"/>
            </w:r>
            <w:r>
              <w:rPr>
                <w:rFonts w:ascii="Calibri" w:eastAsia="Calibri" w:hAnsi="Calibri" w:cs="Calibri"/>
                <w:color w:val="212121"/>
              </w:rPr>
              <w:t>copeadvising@twu.edu</w:t>
            </w:r>
          </w:p>
        </w:tc>
      </w:tr>
      <w:tr w:rsidR="00AE5357">
        <w:trPr>
          <w:trHeight w:val="560"/>
        </w:trPr>
        <w:tc>
          <w:tcPr>
            <w:tcW w:w="105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rPr>
                <w:rFonts w:ascii="Calibri" w:eastAsia="Calibri" w:hAnsi="Calibri" w:cs="Calibri"/>
                <w:color w:val="212121"/>
              </w:rPr>
              <w:t>Professional Certification</w:t>
            </w:r>
          </w:p>
        </w:tc>
        <w:tc>
          <w:tcPr>
            <w:tcW w:w="3211"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1155CC"/>
                <w:u w:val="single"/>
              </w:rPr>
            </w:pPr>
            <w:r>
              <w:fldChar w:fldCharType="begin"/>
            </w:r>
            <w:r>
              <w:instrText xml:space="preserve"> HYPERLINK "https://goo.gl/forms/IsU5uVh0PmHimffA3" </w:instrText>
            </w:r>
            <w:r>
              <w:fldChar w:fldCharType="separate"/>
            </w:r>
            <w:r>
              <w:rPr>
                <w:rFonts w:ascii="Calibri" w:eastAsia="Calibri" w:hAnsi="Calibri" w:cs="Calibri"/>
                <w:color w:val="1155CC"/>
                <w:u w:val="single"/>
              </w:rPr>
              <w:t>https://goo.gl/forms/IsU5uVh0PmHimffA3</w:t>
            </w:r>
          </w:p>
        </w:tc>
        <w:tc>
          <w:tcPr>
            <w:tcW w:w="3223"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1155CC"/>
                <w:u w:val="single"/>
              </w:rPr>
            </w:pPr>
            <w:r>
              <w:fldChar w:fldCharType="end"/>
            </w:r>
            <w:r>
              <w:fldChar w:fldCharType="begin"/>
            </w:r>
            <w:r>
              <w:instrText xml:space="preserve"> HYPERLINK "https://goo.gl/forms/AAI3LK5KFn7FROQv1" </w:instrText>
            </w:r>
            <w:r>
              <w:fldChar w:fldCharType="separate"/>
            </w:r>
            <w:r>
              <w:rPr>
                <w:rFonts w:ascii="Calibri" w:eastAsia="Calibri" w:hAnsi="Calibri" w:cs="Calibri"/>
                <w:color w:val="1155CC"/>
                <w:u w:val="single"/>
              </w:rPr>
              <w:t>https://goo.gl/forms/AAI3LK5KFn7FROQv1</w:t>
            </w:r>
          </w:p>
        </w:tc>
        <w:tc>
          <w:tcPr>
            <w:tcW w:w="1869" w:type="dxa"/>
            <w:tcBorders>
              <w:top w:val="nil"/>
              <w:left w:val="nil"/>
              <w:bottom w:val="single" w:sz="8" w:space="0" w:color="000000"/>
              <w:right w:val="single" w:sz="8" w:space="0" w:color="000000"/>
            </w:tcBorders>
            <w:tcMar>
              <w:top w:w="0" w:type="dxa"/>
              <w:left w:w="100" w:type="dxa"/>
              <w:bottom w:w="0" w:type="dxa"/>
              <w:right w:w="100" w:type="dxa"/>
            </w:tcMar>
          </w:tcPr>
          <w:p w:rsidR="00AE5357" w:rsidRDefault="0005266B">
            <w:pPr>
              <w:contextualSpacing w:val="0"/>
              <w:rPr>
                <w:rFonts w:ascii="Calibri" w:eastAsia="Calibri" w:hAnsi="Calibri" w:cs="Calibri"/>
                <w:color w:val="212121"/>
              </w:rPr>
            </w:pPr>
            <w:r>
              <w:fldChar w:fldCharType="end"/>
            </w:r>
            <w:r>
              <w:rPr>
                <w:rFonts w:ascii="Calibri" w:eastAsia="Calibri" w:hAnsi="Calibri" w:cs="Calibri"/>
                <w:color w:val="212121"/>
              </w:rPr>
              <w:t>lkobler@twu.edu</w:t>
            </w:r>
          </w:p>
        </w:tc>
      </w:tr>
    </w:tbl>
    <w:p w:rsidR="00AE5357" w:rsidRDefault="0005266B">
      <w:pPr>
        <w:ind w:left="2160"/>
        <w:contextualSpacing w:val="0"/>
        <w:rPr>
          <w:rFonts w:ascii="Calibri" w:eastAsia="Calibri" w:hAnsi="Calibri" w:cs="Calibri"/>
          <w:color w:val="212121"/>
        </w:rPr>
      </w:pPr>
      <w:r>
        <w:rPr>
          <w:rFonts w:ascii="Calibri" w:eastAsia="Calibri" w:hAnsi="Calibri" w:cs="Calibri"/>
          <w:color w:val="212121"/>
        </w:rPr>
        <w:t xml:space="preserve"> </w:t>
      </w:r>
    </w:p>
    <w:p w:rsidR="00AE5357" w:rsidRDefault="0005266B">
      <w:pPr>
        <w:contextualSpacing w:val="0"/>
        <w:rPr>
          <w:rFonts w:ascii="Calibri" w:eastAsia="Calibri" w:hAnsi="Calibri" w:cs="Calibri"/>
          <w:color w:val="212121"/>
        </w:rPr>
      </w:pPr>
      <w:r>
        <w:rPr>
          <w:rFonts w:ascii="Calibri" w:eastAsia="Calibri" w:hAnsi="Calibri" w:cs="Calibri"/>
          <w:color w:val="212121"/>
        </w:rPr>
        <w:t>We can add to this CEP agendas to let everyone know about this new statue, which was created by SB 1839 from the last legislative session (meaning no getting out of this).</w:t>
      </w:r>
    </w:p>
    <w:p w:rsidR="00AE5357" w:rsidRDefault="00AE5357">
      <w:pPr>
        <w:contextualSpacing w:val="0"/>
        <w:rPr>
          <w:rFonts w:ascii="Calibri" w:eastAsia="Calibri" w:hAnsi="Calibri" w:cs="Calibri"/>
          <w:sz w:val="24"/>
          <w:szCs w:val="24"/>
        </w:rPr>
      </w:pPr>
    </w:p>
    <w:p w:rsidR="00AE5357" w:rsidRDefault="0005266B">
      <w:pPr>
        <w:numPr>
          <w:ilvl w:val="0"/>
          <w:numId w:val="1"/>
        </w:numPr>
        <w:rPr>
          <w:rFonts w:ascii="Calibri" w:eastAsia="Calibri" w:hAnsi="Calibri" w:cs="Calibri"/>
          <w:sz w:val="24"/>
          <w:szCs w:val="24"/>
        </w:rPr>
      </w:pPr>
      <w:r>
        <w:rPr>
          <w:rFonts w:ascii="Calibri" w:eastAsia="Calibri" w:hAnsi="Calibri" w:cs="Calibri"/>
          <w:sz w:val="24"/>
          <w:szCs w:val="24"/>
        </w:rPr>
        <w:t>Adjournment</w:t>
      </w:r>
    </w:p>
    <w:sectPr w:rsidR="00AE535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C07E4"/>
    <w:multiLevelType w:val="multilevel"/>
    <w:tmpl w:val="B3401B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57"/>
    <w:rsid w:val="0005266B"/>
    <w:rsid w:val="00AE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7274E-4288-448B-B65F-B47570E7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O-fflL3B0MZFh_M2097lq2wPgq02Fj2gImTsCZ7HaZQ/edit?usp=sharing" TargetMode="External"/><Relationship Id="rId3" Type="http://schemas.openxmlformats.org/officeDocument/2006/relationships/settings" Target="settings.xml"/><Relationship Id="rId7" Type="http://schemas.openxmlformats.org/officeDocument/2006/relationships/hyperlink" Target="https://docs.google.com/document/d/1i3XKaop1XFJIi5nOExDi5qSLZzfnEAeWZjaXXFNbCTA/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xbbMHjXdC35ZUaiLnF_h5g_iylI3voQTM8IA1Wo9eBs" TargetMode="External"/><Relationship Id="rId11" Type="http://schemas.openxmlformats.org/officeDocument/2006/relationships/theme" Target="theme/theme1.xml"/><Relationship Id="rId5" Type="http://schemas.openxmlformats.org/officeDocument/2006/relationships/hyperlink" Target="https://drive.google.com/open?id=14GT081Up9sENOXCT5AdUUFst3h2BmO-6O-Z_fx87tt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Ceballos, Nicole</dc:creator>
  <cp:lastModifiedBy>Ceballos, Nicole</cp:lastModifiedBy>
  <cp:revision>2</cp:revision>
  <dcterms:created xsi:type="dcterms:W3CDTF">2018-10-25T13:40:00Z</dcterms:created>
  <dcterms:modified xsi:type="dcterms:W3CDTF">2018-10-25T13:40:00Z</dcterms:modified>
</cp:coreProperties>
</file>